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0073" w14:textId="669CF770" w:rsidR="00A81344" w:rsidRDefault="00A81344" w:rsidP="00A81344">
      <w:pPr>
        <w:spacing w:after="0" w:line="240" w:lineRule="auto"/>
        <w:jc w:val="both"/>
        <w:rPr>
          <w:rFonts w:ascii="Arial" w:eastAsia="Arial" w:hAnsi="Arial" w:cs="Arial"/>
          <w:b/>
          <w:sz w:val="24"/>
          <w:szCs w:val="24"/>
        </w:rPr>
      </w:pPr>
      <w:r>
        <w:rPr>
          <w:noProof/>
        </w:rPr>
        <w:drawing>
          <wp:anchor distT="0" distB="0" distL="114300" distR="114300" simplePos="0" relativeHeight="251661312" behindDoc="0" locked="0" layoutInCell="1" hidden="0" allowOverlap="1" wp14:anchorId="2ECD63BF" wp14:editId="3B3E7591">
            <wp:simplePos x="0" y="0"/>
            <wp:positionH relativeFrom="column">
              <wp:posOffset>5324475</wp:posOffset>
            </wp:positionH>
            <wp:positionV relativeFrom="paragraph">
              <wp:posOffset>-1318260</wp:posOffset>
            </wp:positionV>
            <wp:extent cx="1276350" cy="90170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276350" cy="901700"/>
                    </a:xfrm>
                    <a:prstGeom prst="rect">
                      <a:avLst/>
                    </a:prstGeom>
                    <a:ln/>
                  </pic:spPr>
                </pic:pic>
              </a:graphicData>
            </a:graphic>
          </wp:anchor>
        </w:drawing>
      </w:r>
    </w:p>
    <w:p w14:paraId="3166904F" w14:textId="77777777" w:rsidR="00B75F0C" w:rsidRDefault="00B75F0C" w:rsidP="00B75F0C">
      <w:pPr>
        <w:autoSpaceDE w:val="0"/>
        <w:autoSpaceDN w:val="0"/>
        <w:adjustRightInd w:val="0"/>
        <w:ind w:left="-567"/>
        <w:rPr>
          <w:rFonts w:ascii="Arial" w:hAnsi="Arial" w:cs="Arial"/>
          <w:b/>
          <w:bCs/>
          <w:color w:val="000000"/>
          <w:kern w:val="24"/>
          <w:sz w:val="28"/>
          <w:szCs w:val="28"/>
        </w:rPr>
      </w:pPr>
      <w:r w:rsidRPr="007A135E">
        <w:rPr>
          <w:rFonts w:ascii="Arial" w:hAnsi="Arial" w:cs="Arial"/>
          <w:b/>
          <w:bCs/>
          <w:color w:val="000000"/>
          <w:kern w:val="24"/>
          <w:sz w:val="28"/>
          <w:szCs w:val="28"/>
        </w:rPr>
        <w:t xml:space="preserve">Index Exportu – </w:t>
      </w:r>
      <w:r>
        <w:rPr>
          <w:rFonts w:ascii="Arial" w:hAnsi="Arial" w:cs="Arial"/>
          <w:b/>
          <w:bCs/>
          <w:color w:val="000000"/>
          <w:kern w:val="24"/>
          <w:sz w:val="28"/>
          <w:szCs w:val="28"/>
        </w:rPr>
        <w:t xml:space="preserve">vysoká očekávání po kostrbatém začátku roku </w:t>
      </w:r>
      <w:r w:rsidRPr="007A135E">
        <w:rPr>
          <w:rFonts w:ascii="Arial" w:hAnsi="Arial" w:cs="Arial"/>
          <w:b/>
          <w:bCs/>
          <w:color w:val="000000"/>
          <w:kern w:val="24"/>
          <w:sz w:val="28"/>
          <w:szCs w:val="28"/>
        </w:rPr>
        <w:t xml:space="preserve"> </w:t>
      </w:r>
    </w:p>
    <w:p w14:paraId="49AD72D7" w14:textId="593E3488" w:rsidR="00A81344" w:rsidRDefault="00A81344" w:rsidP="00A81344">
      <w:pPr>
        <w:spacing w:after="0"/>
        <w:ind w:left="-567"/>
        <w:rPr>
          <w:rFonts w:ascii="Arial" w:eastAsia="Arial" w:hAnsi="Arial" w:cs="Arial"/>
          <w:b/>
          <w:sz w:val="28"/>
          <w:szCs w:val="28"/>
          <w:highlight w:val="yellow"/>
        </w:rPr>
      </w:pPr>
    </w:p>
    <w:p w14:paraId="427235CD" w14:textId="06755125" w:rsidR="00485714" w:rsidRPr="00485714" w:rsidRDefault="00485714" w:rsidP="00A81344">
      <w:pPr>
        <w:spacing w:after="0"/>
        <w:ind w:left="-567"/>
        <w:rPr>
          <w:rFonts w:ascii="Arial" w:eastAsia="Arial" w:hAnsi="Arial" w:cs="Arial"/>
          <w:bCs/>
          <w:i/>
          <w:iCs/>
          <w:sz w:val="20"/>
          <w:szCs w:val="20"/>
        </w:rPr>
      </w:pPr>
      <w:r w:rsidRPr="00485714">
        <w:rPr>
          <w:rFonts w:ascii="Arial" w:eastAsia="Arial" w:hAnsi="Arial" w:cs="Arial"/>
          <w:bCs/>
          <w:i/>
          <w:iCs/>
          <w:sz w:val="20"/>
          <w:szCs w:val="20"/>
        </w:rPr>
        <w:t xml:space="preserve">Praha, 8. </w:t>
      </w:r>
      <w:r w:rsidR="00B75F0C">
        <w:rPr>
          <w:rFonts w:ascii="Arial" w:eastAsia="Arial" w:hAnsi="Arial" w:cs="Arial"/>
          <w:bCs/>
          <w:i/>
          <w:iCs/>
          <w:sz w:val="20"/>
          <w:szCs w:val="20"/>
        </w:rPr>
        <w:t>dubna</w:t>
      </w:r>
      <w:r w:rsidRPr="00485714">
        <w:rPr>
          <w:rFonts w:ascii="Arial" w:eastAsia="Arial" w:hAnsi="Arial" w:cs="Arial"/>
          <w:bCs/>
          <w:i/>
          <w:iCs/>
          <w:sz w:val="20"/>
          <w:szCs w:val="20"/>
        </w:rPr>
        <w:t xml:space="preserve"> 2021</w:t>
      </w:r>
    </w:p>
    <w:p w14:paraId="53723CE9" w14:textId="77777777" w:rsidR="00485714" w:rsidRPr="00485714" w:rsidRDefault="00485714" w:rsidP="00A81344">
      <w:pPr>
        <w:spacing w:after="0"/>
        <w:ind w:left="-567"/>
        <w:rPr>
          <w:rFonts w:ascii="Arial" w:eastAsia="Arial" w:hAnsi="Arial" w:cs="Arial"/>
          <w:bCs/>
          <w:i/>
          <w:iCs/>
          <w:sz w:val="18"/>
          <w:szCs w:val="18"/>
        </w:rPr>
      </w:pPr>
    </w:p>
    <w:p w14:paraId="16890480" w14:textId="780009E3" w:rsidR="00B75F0C" w:rsidRDefault="00B75F0C" w:rsidP="00B75F0C">
      <w:pPr>
        <w:autoSpaceDE w:val="0"/>
        <w:autoSpaceDN w:val="0"/>
        <w:adjustRightInd w:val="0"/>
        <w:ind w:left="-567"/>
        <w:jc w:val="both"/>
        <w:rPr>
          <w:rFonts w:ascii="Arial" w:eastAsia="Arial" w:hAnsi="Arial" w:cs="Arial"/>
        </w:rPr>
      </w:pPr>
      <w:r>
        <w:rPr>
          <w:rFonts w:ascii="Arial" w:eastAsia="Arial" w:hAnsi="Arial" w:cs="Arial"/>
        </w:rPr>
        <w:t>Český export byl v posledním čtvrtletí minulého roku spolu s průmyslem tahounem ekonomiky. Od září docházelo postupně k navyšování meziroční dynamiky vývozů, jež vyvrcholilo v prosinci růstem téměř o 18 % (národní metodika). Nicméně na začátku letošního roku se dostavilo citelné ochlazení, kdy export v porovnání s lednem 2020 oslabil o 0,6 %. Je ovšem třeba přihlédnout k nevýhodě v podobě počtu pracovních dnů, kterých měl letošní leden o dva méně. „</w:t>
      </w:r>
      <w:r w:rsidRPr="008078E0">
        <w:rPr>
          <w:rFonts w:ascii="Arial" w:eastAsia="Arial" w:hAnsi="Arial" w:cs="Arial"/>
          <w:i/>
          <w:iCs/>
        </w:rPr>
        <w:t>Navíc byl leden prvním měsícem post-</w:t>
      </w:r>
      <w:proofErr w:type="spellStart"/>
      <w:r w:rsidRPr="008078E0">
        <w:rPr>
          <w:rFonts w:ascii="Arial" w:eastAsia="Arial" w:hAnsi="Arial" w:cs="Arial"/>
          <w:i/>
          <w:iCs/>
        </w:rPr>
        <w:t>brexitových</w:t>
      </w:r>
      <w:proofErr w:type="spellEnd"/>
      <w:r w:rsidRPr="008078E0">
        <w:rPr>
          <w:rFonts w:ascii="Arial" w:eastAsia="Arial" w:hAnsi="Arial" w:cs="Arial"/>
          <w:i/>
          <w:iCs/>
        </w:rPr>
        <w:t xml:space="preserve"> vztahů, což se negativně projevilo na zahraničním obchodu se Spojen</w:t>
      </w:r>
      <w:r>
        <w:rPr>
          <w:rFonts w:ascii="Arial" w:eastAsia="Arial" w:hAnsi="Arial" w:cs="Arial"/>
          <w:i/>
          <w:iCs/>
        </w:rPr>
        <w:t>ý</w:t>
      </w:r>
      <w:r w:rsidRPr="008078E0">
        <w:rPr>
          <w:rFonts w:ascii="Arial" w:eastAsia="Arial" w:hAnsi="Arial" w:cs="Arial"/>
          <w:i/>
          <w:iCs/>
        </w:rPr>
        <w:t>m královstvím“</w:t>
      </w:r>
      <w:r>
        <w:rPr>
          <w:rFonts w:ascii="Arial" w:eastAsia="Arial" w:hAnsi="Arial" w:cs="Arial"/>
        </w:rPr>
        <w:t xml:space="preserve">, sděluje David Vagenknecht, analytik Raiffeisenbank. </w:t>
      </w:r>
    </w:p>
    <w:p w14:paraId="217E5CCC" w14:textId="47DFF984" w:rsidR="00B75F0C" w:rsidRDefault="00B75F0C" w:rsidP="00B75F0C">
      <w:pPr>
        <w:autoSpaceDE w:val="0"/>
        <w:autoSpaceDN w:val="0"/>
        <w:adjustRightInd w:val="0"/>
        <w:ind w:left="-567"/>
        <w:jc w:val="both"/>
        <w:rPr>
          <w:rFonts w:ascii="Arial" w:eastAsia="Arial" w:hAnsi="Arial" w:cs="Arial"/>
        </w:rPr>
      </w:pPr>
      <w:r>
        <w:rPr>
          <w:rFonts w:ascii="Arial" w:eastAsia="Arial" w:hAnsi="Arial" w:cs="Arial"/>
        </w:rPr>
        <w:t xml:space="preserve">Dle aktuálního výpočtu indexu exportu lze s utlumeným vývojem exportu počítat i v únoru, citelnější oživení by se mělo dostavit především v dubnu a květnu. </w:t>
      </w:r>
      <w:r w:rsidRPr="008078E0">
        <w:rPr>
          <w:rFonts w:ascii="Arial" w:eastAsia="Arial" w:hAnsi="Arial" w:cs="Arial"/>
          <w:i/>
          <w:iCs/>
        </w:rPr>
        <w:t xml:space="preserve">„Za </w:t>
      </w:r>
      <w:r>
        <w:rPr>
          <w:rFonts w:ascii="Arial" w:eastAsia="Arial" w:hAnsi="Arial" w:cs="Arial"/>
          <w:i/>
          <w:iCs/>
        </w:rPr>
        <w:t>zhoršením</w:t>
      </w:r>
      <w:r w:rsidRPr="008078E0">
        <w:rPr>
          <w:rFonts w:ascii="Arial" w:eastAsia="Arial" w:hAnsi="Arial" w:cs="Arial"/>
          <w:i/>
          <w:iCs/>
        </w:rPr>
        <w:t xml:space="preserve"> výkonu exportu</w:t>
      </w:r>
      <w:r>
        <w:rPr>
          <w:rFonts w:ascii="Arial" w:eastAsia="Arial" w:hAnsi="Arial" w:cs="Arial"/>
          <w:i/>
          <w:iCs/>
        </w:rPr>
        <w:t xml:space="preserve"> v porovnání se 4.Q 2020</w:t>
      </w:r>
      <w:r w:rsidRPr="008078E0">
        <w:rPr>
          <w:rFonts w:ascii="Arial" w:eastAsia="Arial" w:hAnsi="Arial" w:cs="Arial"/>
          <w:i/>
          <w:iCs/>
        </w:rPr>
        <w:t xml:space="preserve"> lze hledat mírné </w:t>
      </w:r>
      <w:r>
        <w:rPr>
          <w:rFonts w:ascii="Arial" w:eastAsia="Arial" w:hAnsi="Arial" w:cs="Arial"/>
          <w:i/>
          <w:iCs/>
        </w:rPr>
        <w:t>oslabení</w:t>
      </w:r>
      <w:r w:rsidRPr="008078E0">
        <w:rPr>
          <w:rFonts w:ascii="Arial" w:eastAsia="Arial" w:hAnsi="Arial" w:cs="Arial"/>
          <w:i/>
          <w:iCs/>
        </w:rPr>
        <w:t> zahraniční poptáv</w:t>
      </w:r>
      <w:r>
        <w:rPr>
          <w:rFonts w:ascii="Arial" w:eastAsia="Arial" w:hAnsi="Arial" w:cs="Arial"/>
          <w:i/>
          <w:iCs/>
        </w:rPr>
        <w:t>ky</w:t>
      </w:r>
      <w:r w:rsidRPr="008078E0">
        <w:rPr>
          <w:rFonts w:ascii="Arial" w:eastAsia="Arial" w:hAnsi="Arial" w:cs="Arial"/>
          <w:i/>
          <w:iCs/>
        </w:rPr>
        <w:t xml:space="preserve"> a sílící komplikace v dodavatelsko-odběratelských řetězcích</w:t>
      </w:r>
      <w:r>
        <w:rPr>
          <w:rFonts w:ascii="Arial" w:eastAsia="Arial" w:hAnsi="Arial" w:cs="Arial"/>
          <w:i/>
          <w:iCs/>
        </w:rPr>
        <w:t>,</w:t>
      </w:r>
      <w:r w:rsidRPr="008078E0">
        <w:rPr>
          <w:rFonts w:ascii="Arial" w:eastAsia="Arial" w:hAnsi="Arial" w:cs="Arial"/>
          <w:i/>
          <w:iCs/>
        </w:rPr>
        <w:t>“</w:t>
      </w:r>
      <w:r>
        <w:rPr>
          <w:rFonts w:ascii="Arial" w:eastAsia="Arial" w:hAnsi="Arial" w:cs="Arial"/>
        </w:rPr>
        <w:t xml:space="preserve"> uvádí Vagenknecht. V lednu došlo poprvé od srpna 2020 k meziročnímu poklesu nových objednávek v německém zpracovatelském sektoru, což se projevilo v přerušení trendu meziročního růstu českého vývozu do Německa. Z pohledu průmyslově orientované české ekonomiky je pro export citelnou brzdou prodlužování dodacích lhůt výrobních materiálů a v horším případě jejich nedostatek. To komplikuje výrobu v řadě podniků, zejména v automobilovém průmyslu, kde nedostatek čipů a polovodičů v některých případech částečně omezuje výrobu. „</w:t>
      </w:r>
      <w:r>
        <w:rPr>
          <w:rFonts w:ascii="Arial" w:eastAsia="Arial" w:hAnsi="Arial" w:cs="Arial"/>
          <w:i/>
          <w:iCs/>
        </w:rPr>
        <w:t xml:space="preserve">Nadále </w:t>
      </w:r>
      <w:r w:rsidRPr="00767B71">
        <w:rPr>
          <w:rFonts w:ascii="Arial" w:eastAsia="Arial" w:hAnsi="Arial" w:cs="Arial"/>
          <w:i/>
          <w:iCs/>
        </w:rPr>
        <w:t xml:space="preserve">však platí, že se průmysl </w:t>
      </w:r>
      <w:r>
        <w:rPr>
          <w:rFonts w:ascii="Arial" w:eastAsia="Arial" w:hAnsi="Arial" w:cs="Arial"/>
          <w:i/>
          <w:iCs/>
        </w:rPr>
        <w:t>spolu s</w:t>
      </w:r>
      <w:r w:rsidRPr="00767B71">
        <w:rPr>
          <w:rFonts w:ascii="Arial" w:eastAsia="Arial" w:hAnsi="Arial" w:cs="Arial"/>
          <w:i/>
          <w:iCs/>
        </w:rPr>
        <w:t xml:space="preserve"> export</w:t>
      </w:r>
      <w:r>
        <w:rPr>
          <w:rFonts w:ascii="Arial" w:eastAsia="Arial" w:hAnsi="Arial" w:cs="Arial"/>
          <w:i/>
          <w:iCs/>
        </w:rPr>
        <w:t>em</w:t>
      </w:r>
      <w:r w:rsidRPr="00767B71">
        <w:rPr>
          <w:rFonts w:ascii="Arial" w:eastAsia="Arial" w:hAnsi="Arial" w:cs="Arial"/>
          <w:i/>
          <w:iCs/>
        </w:rPr>
        <w:t xml:space="preserve">, </w:t>
      </w:r>
      <w:r>
        <w:rPr>
          <w:rFonts w:ascii="Arial" w:eastAsia="Arial" w:hAnsi="Arial" w:cs="Arial"/>
          <w:i/>
          <w:iCs/>
        </w:rPr>
        <w:t>v porovnání s první vlnou pandemie,</w:t>
      </w:r>
      <w:r w:rsidRPr="00767B71">
        <w:rPr>
          <w:rFonts w:ascii="Arial" w:eastAsia="Arial" w:hAnsi="Arial" w:cs="Arial"/>
          <w:i/>
          <w:iCs/>
        </w:rPr>
        <w:t xml:space="preserve"> přímým dopadům uzavírek </w:t>
      </w:r>
      <w:r>
        <w:rPr>
          <w:rFonts w:ascii="Arial" w:eastAsia="Arial" w:hAnsi="Arial" w:cs="Arial"/>
          <w:i/>
          <w:iCs/>
        </w:rPr>
        <w:t>vyhýbá</w:t>
      </w:r>
      <w:r>
        <w:rPr>
          <w:rFonts w:ascii="Arial" w:eastAsia="Arial" w:hAnsi="Arial" w:cs="Arial"/>
        </w:rPr>
        <w:t xml:space="preserve">. </w:t>
      </w:r>
      <w:r w:rsidRPr="0033792E">
        <w:rPr>
          <w:rFonts w:ascii="Arial" w:eastAsia="Arial" w:hAnsi="Arial" w:cs="Arial"/>
          <w:i/>
          <w:iCs/>
        </w:rPr>
        <w:t xml:space="preserve">Z toho důvodu už jen díky velmi nízké srovnávací základně můžeme v nejbližších měsících očekávat meziroční růst </w:t>
      </w:r>
      <w:r>
        <w:rPr>
          <w:rFonts w:ascii="Arial" w:eastAsia="Arial" w:hAnsi="Arial" w:cs="Arial"/>
          <w:i/>
          <w:iCs/>
        </w:rPr>
        <w:t>vývozů</w:t>
      </w:r>
      <w:r w:rsidRPr="0033792E">
        <w:rPr>
          <w:rFonts w:ascii="Arial" w:eastAsia="Arial" w:hAnsi="Arial" w:cs="Arial"/>
          <w:i/>
          <w:iCs/>
        </w:rPr>
        <w:t xml:space="preserve">. Nicméně </w:t>
      </w:r>
      <w:r>
        <w:rPr>
          <w:rFonts w:ascii="Arial" w:eastAsia="Arial" w:hAnsi="Arial" w:cs="Arial"/>
          <w:i/>
          <w:iCs/>
        </w:rPr>
        <w:t xml:space="preserve">s </w:t>
      </w:r>
      <w:r w:rsidRPr="0033792E">
        <w:rPr>
          <w:rFonts w:ascii="Arial" w:eastAsia="Arial" w:hAnsi="Arial" w:cs="Arial"/>
          <w:i/>
          <w:iCs/>
        </w:rPr>
        <w:t>přetrvávající</w:t>
      </w:r>
      <w:r>
        <w:rPr>
          <w:rFonts w:ascii="Arial" w:eastAsia="Arial" w:hAnsi="Arial" w:cs="Arial"/>
          <w:i/>
          <w:iCs/>
        </w:rPr>
        <w:t>mi</w:t>
      </w:r>
      <w:r w:rsidRPr="0033792E">
        <w:rPr>
          <w:rFonts w:ascii="Arial" w:eastAsia="Arial" w:hAnsi="Arial" w:cs="Arial"/>
          <w:i/>
          <w:iCs/>
        </w:rPr>
        <w:t xml:space="preserve"> nepřím</w:t>
      </w:r>
      <w:r>
        <w:rPr>
          <w:rFonts w:ascii="Arial" w:eastAsia="Arial" w:hAnsi="Arial" w:cs="Arial"/>
          <w:i/>
          <w:iCs/>
        </w:rPr>
        <w:t>ými</w:t>
      </w:r>
      <w:r w:rsidRPr="0033792E">
        <w:rPr>
          <w:rFonts w:ascii="Arial" w:eastAsia="Arial" w:hAnsi="Arial" w:cs="Arial"/>
          <w:i/>
          <w:iCs/>
        </w:rPr>
        <w:t xml:space="preserve"> dopady zůstávají rizika </w:t>
      </w:r>
      <w:r>
        <w:rPr>
          <w:rFonts w:ascii="Arial" w:eastAsia="Arial" w:hAnsi="Arial" w:cs="Arial"/>
          <w:i/>
          <w:iCs/>
        </w:rPr>
        <w:t>predikce</w:t>
      </w:r>
      <w:r w:rsidRPr="0033792E">
        <w:rPr>
          <w:rFonts w:ascii="Arial" w:eastAsia="Arial" w:hAnsi="Arial" w:cs="Arial"/>
          <w:i/>
          <w:iCs/>
        </w:rPr>
        <w:t xml:space="preserve"> Indexu Exportu vychýlena směrem dolů</w:t>
      </w:r>
      <w:r>
        <w:rPr>
          <w:rFonts w:ascii="Arial" w:eastAsia="Arial" w:hAnsi="Arial" w:cs="Arial"/>
          <w:i/>
          <w:iCs/>
        </w:rPr>
        <w:t xml:space="preserve">,“ </w:t>
      </w:r>
      <w:r>
        <w:rPr>
          <w:rFonts w:ascii="Arial" w:eastAsia="Arial" w:hAnsi="Arial" w:cs="Arial"/>
        </w:rPr>
        <w:t>uzavírá Vagenknecht.</w:t>
      </w:r>
    </w:p>
    <w:p w14:paraId="07BABDBA" w14:textId="486D42E7" w:rsidR="00B75F0C" w:rsidRDefault="00B75F0C" w:rsidP="00B75F0C">
      <w:pPr>
        <w:autoSpaceDE w:val="0"/>
        <w:autoSpaceDN w:val="0"/>
        <w:adjustRightInd w:val="0"/>
        <w:ind w:left="-567"/>
        <w:jc w:val="both"/>
        <w:rPr>
          <w:rFonts w:ascii="Arial" w:eastAsia="Arial" w:hAnsi="Arial" w:cs="Arial"/>
        </w:rPr>
      </w:pPr>
      <w:r>
        <w:rPr>
          <w:rFonts w:ascii="Arial" w:eastAsia="Arial" w:hAnsi="Arial" w:cs="Arial"/>
        </w:rPr>
        <w:t xml:space="preserve">Průmysl, potažmo exportéry, netrápí pouze nedostatek komponent a kvalifikovaných pracovníků, ale i nejasná predikce vlády v rozvolňování </w:t>
      </w:r>
      <w:proofErr w:type="spellStart"/>
      <w:r>
        <w:rPr>
          <w:rFonts w:ascii="Arial" w:eastAsia="Arial" w:hAnsi="Arial" w:cs="Arial"/>
        </w:rPr>
        <w:t>postcovidových</w:t>
      </w:r>
      <w:proofErr w:type="spellEnd"/>
      <w:r>
        <w:rPr>
          <w:rFonts w:ascii="Arial" w:eastAsia="Arial" w:hAnsi="Arial" w:cs="Arial"/>
        </w:rPr>
        <w:t xml:space="preserve"> opatření. Problémem zůstává nedostatečná kapacita a zdražování kontejnerové dopravy, ale také raketový růst cen komodit, kde např. cena mědi za rok vzrostla o více než 80 %. </w:t>
      </w:r>
      <w:r w:rsidRPr="00B75F0C">
        <w:rPr>
          <w:rFonts w:ascii="Arial" w:eastAsia="Arial" w:hAnsi="Arial" w:cs="Arial"/>
          <w:i/>
          <w:iCs/>
        </w:rPr>
        <w:t>„To se musí propsat do cen výrobků, vzroste tlak na růst inflace a vše povede k nekonečným cenovým jednáním v dodavatelském řetězci. Pokud by ČNB začala krotit inflaci, došlo by k posílení koruny, a to by významně poškodilo exportéry,“</w:t>
      </w:r>
      <w:r>
        <w:rPr>
          <w:rFonts w:ascii="Arial" w:eastAsia="Arial" w:hAnsi="Arial" w:cs="Arial"/>
        </w:rPr>
        <w:t xml:space="preserve"> konstatuje Otto Daněk, místopředseda Asociace exportérů</w:t>
      </w:r>
    </w:p>
    <w:p w14:paraId="220D4437" w14:textId="47E55F8D" w:rsidR="00B75F0C" w:rsidRDefault="00B75F0C" w:rsidP="00B75F0C">
      <w:pPr>
        <w:autoSpaceDE w:val="0"/>
        <w:autoSpaceDN w:val="0"/>
        <w:adjustRightInd w:val="0"/>
        <w:ind w:left="-567"/>
        <w:jc w:val="both"/>
        <w:rPr>
          <w:rFonts w:ascii="Arial" w:eastAsia="Arial" w:hAnsi="Arial" w:cs="Arial"/>
        </w:rPr>
      </w:pPr>
      <w:r>
        <w:rPr>
          <w:rFonts w:ascii="Arial" w:eastAsia="Arial" w:hAnsi="Arial" w:cs="Arial"/>
        </w:rPr>
        <w:t xml:space="preserve">V druhé polovině jarních měsíců je očekáván meziroční růst exportu, ale jak již bylo řečeno, srovnávací základna je velmi nízko. Skutečný růst je však třeba počítat ve chvíli, až se export dostane nad </w:t>
      </w:r>
      <w:proofErr w:type="spellStart"/>
      <w:r>
        <w:rPr>
          <w:rFonts w:ascii="Arial" w:eastAsia="Arial" w:hAnsi="Arial" w:cs="Arial"/>
        </w:rPr>
        <w:t>předcovidová</w:t>
      </w:r>
      <w:proofErr w:type="spellEnd"/>
      <w:r>
        <w:rPr>
          <w:rFonts w:ascii="Arial" w:eastAsia="Arial" w:hAnsi="Arial" w:cs="Arial"/>
        </w:rPr>
        <w:t xml:space="preserve"> čísla, a to zřejmě nebude dříve než v roce 2023. </w:t>
      </w:r>
      <w:r w:rsidRPr="00B75F0C">
        <w:rPr>
          <w:rFonts w:ascii="Arial" w:eastAsia="Arial" w:hAnsi="Arial" w:cs="Arial"/>
          <w:i/>
          <w:iCs/>
        </w:rPr>
        <w:t xml:space="preserve">„Významnou roli v těchto statistikách však může sehrát i přechod na elektromobilitu, což může velmi negativně ovlivnit jak vývoz automobilů, tak i komponent k nim,“ </w:t>
      </w:r>
      <w:r>
        <w:rPr>
          <w:rFonts w:ascii="Arial" w:eastAsia="Arial" w:hAnsi="Arial" w:cs="Arial"/>
        </w:rPr>
        <w:t xml:space="preserve">dodává Otto Daněk. </w:t>
      </w:r>
    </w:p>
    <w:p w14:paraId="71FEBBEF" w14:textId="77777777" w:rsidR="00B75F0C" w:rsidRPr="000755D4" w:rsidRDefault="00B75F0C" w:rsidP="00B75F0C">
      <w:pPr>
        <w:autoSpaceDE w:val="0"/>
        <w:autoSpaceDN w:val="0"/>
        <w:adjustRightInd w:val="0"/>
        <w:ind w:left="-567"/>
        <w:jc w:val="both"/>
        <w:rPr>
          <w:rFonts w:ascii="Arial" w:eastAsia="Arial" w:hAnsi="Arial" w:cs="Arial"/>
        </w:rPr>
      </w:pPr>
    </w:p>
    <w:p w14:paraId="547CA461" w14:textId="77777777" w:rsidR="00B75F0C" w:rsidRPr="00BF5AF2" w:rsidRDefault="00B75F0C" w:rsidP="00B75F0C">
      <w:pPr>
        <w:spacing w:after="0" w:line="240" w:lineRule="auto"/>
        <w:ind w:left="-567"/>
        <w:jc w:val="both"/>
        <w:rPr>
          <w:rFonts w:ascii="Arial" w:eastAsia="Arial" w:hAnsi="Arial" w:cs="Arial"/>
          <w:b/>
          <w:highlight w:val="yellow"/>
        </w:rPr>
      </w:pPr>
      <w:r>
        <w:rPr>
          <w:noProof/>
        </w:rPr>
        <w:lastRenderedPageBreak/>
        <w:drawing>
          <wp:inline distT="0" distB="0" distL="0" distR="0" wp14:anchorId="4AA92B8A" wp14:editId="63956E6F">
            <wp:extent cx="5760720" cy="4009390"/>
            <wp:effectExtent l="0" t="0" r="0" b="0"/>
            <wp:docPr id="17" name="Chart 1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BAEE16" w14:textId="11CC77ED" w:rsidR="00B75F0C" w:rsidRDefault="00B75F0C" w:rsidP="00B75F0C">
      <w:pPr>
        <w:pStyle w:val="Default"/>
        <w:tabs>
          <w:tab w:val="left" w:pos="0"/>
        </w:tabs>
        <w:ind w:left="-567"/>
        <w:rPr>
          <w:rFonts w:ascii="Arial" w:hAnsi="Arial" w:cs="Arial"/>
          <w:i/>
          <w:sz w:val="18"/>
          <w:szCs w:val="18"/>
        </w:rPr>
      </w:pPr>
      <w:r w:rsidRPr="00365FFF">
        <w:rPr>
          <w:rFonts w:ascii="Arial" w:hAnsi="Arial" w:cs="Arial"/>
          <w:i/>
          <w:sz w:val="18"/>
          <w:szCs w:val="18"/>
        </w:rPr>
        <w:t>Zdroj: Výpočet Raiffeisenbank ve spolupráci s Asociací Exportérů, data k </w:t>
      </w:r>
      <w:r>
        <w:rPr>
          <w:rFonts w:ascii="Arial" w:hAnsi="Arial" w:cs="Arial"/>
          <w:i/>
          <w:sz w:val="18"/>
          <w:szCs w:val="18"/>
        </w:rPr>
        <w:t>1</w:t>
      </w:r>
      <w:r w:rsidRPr="00365FFF">
        <w:rPr>
          <w:rFonts w:ascii="Arial" w:hAnsi="Arial" w:cs="Arial"/>
          <w:i/>
          <w:sz w:val="18"/>
          <w:szCs w:val="18"/>
        </w:rPr>
        <w:t>.</w:t>
      </w:r>
      <w:r w:rsidR="00FB6FBD">
        <w:rPr>
          <w:rFonts w:ascii="Arial" w:hAnsi="Arial" w:cs="Arial"/>
          <w:i/>
          <w:sz w:val="18"/>
          <w:szCs w:val="18"/>
        </w:rPr>
        <w:t xml:space="preserve"> </w:t>
      </w:r>
      <w:r>
        <w:rPr>
          <w:rFonts w:ascii="Arial" w:hAnsi="Arial" w:cs="Arial"/>
          <w:i/>
          <w:sz w:val="18"/>
          <w:szCs w:val="18"/>
        </w:rPr>
        <w:t>4</w:t>
      </w:r>
      <w:r w:rsidRPr="00365FFF">
        <w:rPr>
          <w:rFonts w:ascii="Arial" w:hAnsi="Arial" w:cs="Arial"/>
          <w:i/>
          <w:sz w:val="18"/>
          <w:szCs w:val="18"/>
        </w:rPr>
        <w:t>. 202</w:t>
      </w:r>
      <w:r>
        <w:rPr>
          <w:rFonts w:ascii="Arial" w:hAnsi="Arial" w:cs="Arial"/>
          <w:i/>
          <w:sz w:val="18"/>
          <w:szCs w:val="18"/>
        </w:rPr>
        <w:t>1</w:t>
      </w:r>
      <w:r w:rsidRPr="00365FFF">
        <w:rPr>
          <w:rFonts w:ascii="Arial" w:hAnsi="Arial" w:cs="Arial"/>
          <w:i/>
          <w:sz w:val="18"/>
          <w:szCs w:val="18"/>
        </w:rPr>
        <w:t xml:space="preserve">. </w:t>
      </w:r>
      <w:r w:rsidRPr="00365FFF">
        <w:rPr>
          <w:rFonts w:ascii="Arial" w:hAnsi="Arial" w:cs="Arial"/>
          <w:i/>
          <w:sz w:val="18"/>
          <w:szCs w:val="18"/>
        </w:rPr>
        <w:br/>
        <w:t xml:space="preserve">Pozn.: Údaje do </w:t>
      </w:r>
      <w:r>
        <w:rPr>
          <w:rFonts w:ascii="Arial" w:hAnsi="Arial" w:cs="Arial"/>
          <w:i/>
          <w:sz w:val="18"/>
          <w:szCs w:val="18"/>
        </w:rPr>
        <w:t>ledna</w:t>
      </w:r>
      <w:r w:rsidRPr="00365FFF">
        <w:rPr>
          <w:rFonts w:ascii="Arial" w:hAnsi="Arial" w:cs="Arial"/>
          <w:i/>
          <w:sz w:val="18"/>
          <w:szCs w:val="18"/>
        </w:rPr>
        <w:t xml:space="preserve"> 202</w:t>
      </w:r>
      <w:r>
        <w:rPr>
          <w:rFonts w:ascii="Arial" w:hAnsi="Arial" w:cs="Arial"/>
          <w:i/>
          <w:sz w:val="18"/>
          <w:szCs w:val="18"/>
        </w:rPr>
        <w:t>1</w:t>
      </w:r>
      <w:r w:rsidRPr="00365FFF">
        <w:rPr>
          <w:rFonts w:ascii="Arial" w:hAnsi="Arial" w:cs="Arial"/>
          <w:i/>
          <w:sz w:val="18"/>
          <w:szCs w:val="18"/>
        </w:rPr>
        <w:t xml:space="preserve"> odpovídají zveřejněné statistice národního vývozu ČSÚ, od </w:t>
      </w:r>
      <w:r>
        <w:rPr>
          <w:rFonts w:ascii="Arial" w:hAnsi="Arial" w:cs="Arial"/>
          <w:i/>
          <w:sz w:val="18"/>
          <w:szCs w:val="18"/>
        </w:rPr>
        <w:t>února</w:t>
      </w:r>
      <w:r w:rsidRPr="00365FFF">
        <w:rPr>
          <w:rFonts w:ascii="Arial" w:hAnsi="Arial" w:cs="Arial"/>
          <w:i/>
          <w:sz w:val="18"/>
          <w:szCs w:val="18"/>
        </w:rPr>
        <w:t xml:space="preserve"> 202</w:t>
      </w:r>
      <w:r>
        <w:rPr>
          <w:rFonts w:ascii="Arial" w:hAnsi="Arial" w:cs="Arial"/>
          <w:i/>
          <w:sz w:val="18"/>
          <w:szCs w:val="18"/>
        </w:rPr>
        <w:t>1</w:t>
      </w:r>
      <w:r w:rsidRPr="00365FFF">
        <w:rPr>
          <w:rFonts w:ascii="Arial" w:hAnsi="Arial" w:cs="Arial"/>
          <w:i/>
          <w:sz w:val="18"/>
          <w:szCs w:val="18"/>
        </w:rPr>
        <w:t xml:space="preserve"> prognóza IE.</w:t>
      </w:r>
    </w:p>
    <w:p w14:paraId="3A4C9B75" w14:textId="77777777" w:rsidR="00B75F0C" w:rsidRDefault="00B75F0C" w:rsidP="00B75F0C">
      <w:pPr>
        <w:rPr>
          <w:rFonts w:ascii="Arial" w:hAnsi="Arial" w:cs="Arial"/>
          <w:b/>
        </w:rPr>
      </w:pPr>
    </w:p>
    <w:p w14:paraId="27F4ACB3" w14:textId="77777777" w:rsidR="00B75F0C" w:rsidRDefault="00B75F0C" w:rsidP="00B75F0C">
      <w:pPr>
        <w:rPr>
          <w:rFonts w:ascii="Arial" w:hAnsi="Arial" w:cs="Arial"/>
          <w:b/>
        </w:rPr>
      </w:pPr>
    </w:p>
    <w:p w14:paraId="709216A8" w14:textId="77777777" w:rsidR="00B75F0C" w:rsidRPr="006106C8" w:rsidRDefault="00B75F0C" w:rsidP="00B75F0C">
      <w:pPr>
        <w:ind w:hanging="567"/>
        <w:rPr>
          <w:rFonts w:ascii="Arial" w:hAnsi="Arial" w:cs="Arial"/>
          <w:b/>
        </w:rPr>
      </w:pPr>
      <w:r w:rsidRPr="006106C8">
        <w:rPr>
          <w:rFonts w:ascii="Arial" w:hAnsi="Arial" w:cs="Arial"/>
          <w:b/>
        </w:rPr>
        <w:t>Šetření mezi českými vývozci</w:t>
      </w:r>
    </w:p>
    <w:p w14:paraId="2F7C1DBF" w14:textId="77777777" w:rsidR="00B75F0C" w:rsidRDefault="00B75F0C" w:rsidP="00B75F0C">
      <w:pPr>
        <w:spacing w:after="0" w:line="240" w:lineRule="auto"/>
        <w:ind w:left="-567"/>
        <w:jc w:val="both"/>
        <w:rPr>
          <w:rFonts w:ascii="Arial" w:hAnsi="Arial" w:cs="Arial"/>
        </w:rPr>
      </w:pPr>
      <w:r w:rsidRPr="006106C8">
        <w:rPr>
          <w:rFonts w:ascii="Arial" w:hAnsi="Arial" w:cs="Arial"/>
        </w:rPr>
        <w:t>Pravidelně jednou za tři měsíce provádí Raiffeisenbank ve spolupráci s Asociací exportérů šetření mezi českými vývozci. V rámci šetření vývozci odpovídají na dvě otázky: „</w:t>
      </w:r>
      <w:r w:rsidRPr="006106C8">
        <w:rPr>
          <w:rFonts w:ascii="Arial" w:hAnsi="Arial" w:cs="Arial"/>
          <w:i/>
        </w:rPr>
        <w:t>Jak hodnotíte současnou úroveň exportu Vaší společnosti ve srovnání s obdobím před 3 měsíci?</w:t>
      </w:r>
      <w:r w:rsidRPr="006106C8">
        <w:rPr>
          <w:rFonts w:ascii="Arial" w:hAnsi="Arial" w:cs="Arial"/>
        </w:rPr>
        <w:t>“ a „</w:t>
      </w:r>
      <w:r w:rsidRPr="006106C8">
        <w:rPr>
          <w:rFonts w:ascii="Arial" w:hAnsi="Arial" w:cs="Arial"/>
          <w:i/>
        </w:rPr>
        <w:t>Jaký očekáváte vývoj exportu Vaší společnosti za následující 3 měsíce ve srovnání s dneškem?</w:t>
      </w:r>
      <w:r w:rsidRPr="006106C8">
        <w:rPr>
          <w:rFonts w:ascii="Arial" w:hAnsi="Arial" w:cs="Arial"/>
        </w:rPr>
        <w:t xml:space="preserve">“ Respondenti pokaždé vybírají ze škály 0-100. </w:t>
      </w:r>
    </w:p>
    <w:p w14:paraId="478E05D2" w14:textId="77777777" w:rsidR="00B75F0C" w:rsidRDefault="00B75F0C" w:rsidP="00B75F0C">
      <w:pPr>
        <w:spacing w:after="0" w:line="240" w:lineRule="auto"/>
        <w:ind w:left="-567"/>
        <w:jc w:val="both"/>
        <w:rPr>
          <w:rFonts w:ascii="Arial" w:hAnsi="Arial" w:cs="Arial"/>
        </w:rPr>
      </w:pPr>
    </w:p>
    <w:p w14:paraId="2E823689" w14:textId="3F3B1606" w:rsidR="00B75F0C" w:rsidRPr="003F5695" w:rsidRDefault="00B75F0C" w:rsidP="00B75F0C">
      <w:pPr>
        <w:spacing w:after="0" w:line="240" w:lineRule="auto"/>
        <w:ind w:left="-567"/>
        <w:jc w:val="both"/>
        <w:rPr>
          <w:rFonts w:ascii="Arial" w:hAnsi="Arial" w:cs="Arial"/>
        </w:rPr>
      </w:pPr>
      <w:r w:rsidRPr="003F5695">
        <w:rPr>
          <w:rFonts w:ascii="Arial" w:hAnsi="Arial" w:cs="Arial"/>
        </w:rPr>
        <w:t xml:space="preserve">Čeští exportéři vstoupili do nového roku opět pod tíhou </w:t>
      </w:r>
      <w:r w:rsidR="00FB6FBD" w:rsidRPr="003F5695">
        <w:rPr>
          <w:rFonts w:ascii="Arial" w:hAnsi="Arial" w:cs="Arial"/>
        </w:rPr>
        <w:t>proti pandemických</w:t>
      </w:r>
      <w:r w:rsidRPr="003F5695">
        <w:rPr>
          <w:rFonts w:ascii="Arial" w:hAnsi="Arial" w:cs="Arial"/>
        </w:rPr>
        <w:t xml:space="preserve"> opatření.</w:t>
      </w:r>
      <w:r w:rsidR="00B73F43">
        <w:rPr>
          <w:rFonts w:ascii="Arial" w:hAnsi="Arial" w:cs="Arial"/>
        </w:rPr>
        <w:t xml:space="preserve"> </w:t>
      </w:r>
      <w:r w:rsidR="00B73F43" w:rsidRPr="002D28DC">
        <w:rPr>
          <w:rFonts w:ascii="Arial" w:hAnsi="Arial" w:cs="Arial"/>
        </w:rPr>
        <w:t>Optimistické hodnocení současné úrovně exportu</w:t>
      </w:r>
      <w:r w:rsidR="001E4E57" w:rsidRPr="002D28DC">
        <w:rPr>
          <w:rFonts w:ascii="Arial" w:hAnsi="Arial" w:cs="Arial"/>
        </w:rPr>
        <w:t xml:space="preserve"> z konce loňského roku</w:t>
      </w:r>
      <w:r w:rsidR="00B73F43" w:rsidRPr="002D28DC">
        <w:rPr>
          <w:rFonts w:ascii="Arial" w:hAnsi="Arial" w:cs="Arial"/>
        </w:rPr>
        <w:t xml:space="preserve"> se nemohlo zákonitě udržet na stejně vysoké úrovni a</w:t>
      </w:r>
      <w:r w:rsidR="001E4E57" w:rsidRPr="002D28DC">
        <w:rPr>
          <w:rFonts w:ascii="Arial" w:hAnsi="Arial" w:cs="Arial"/>
        </w:rPr>
        <w:t xml:space="preserve"> sklouzlo k mírně nadprůměrným hodnotám.</w:t>
      </w:r>
      <w:r w:rsidR="00085011" w:rsidRPr="002D28DC">
        <w:rPr>
          <w:rFonts w:ascii="Arial" w:hAnsi="Arial" w:cs="Arial"/>
        </w:rPr>
        <w:t xml:space="preserve"> Na druhou stranu se ale nenaplnily pesimistické vyhlídky na začátek letošního roku, které ještě na konci loňského roku panovaly mezi exportéry.</w:t>
      </w:r>
      <w:r w:rsidR="00085011">
        <w:rPr>
          <w:rFonts w:ascii="Arial" w:hAnsi="Arial" w:cs="Arial"/>
        </w:rPr>
        <w:t xml:space="preserve"> </w:t>
      </w:r>
    </w:p>
    <w:p w14:paraId="5472F92A" w14:textId="77777777" w:rsidR="00B75F0C" w:rsidRDefault="00B75F0C" w:rsidP="00B75F0C">
      <w:pPr>
        <w:spacing w:after="0" w:line="240" w:lineRule="auto"/>
        <w:rPr>
          <w:rFonts w:ascii="Arial" w:hAnsi="Arial" w:cs="Arial"/>
        </w:rPr>
      </w:pPr>
    </w:p>
    <w:p w14:paraId="59CDA077" w14:textId="77777777" w:rsidR="00B75F0C" w:rsidRDefault="00B75F0C" w:rsidP="00B75F0C">
      <w:pPr>
        <w:spacing w:after="0" w:line="240" w:lineRule="auto"/>
        <w:rPr>
          <w:rFonts w:ascii="Arial" w:hAnsi="Arial" w:cs="Arial"/>
          <w:b/>
        </w:rPr>
      </w:pPr>
    </w:p>
    <w:p w14:paraId="4091D7C3" w14:textId="77777777" w:rsidR="00B75F0C" w:rsidRDefault="00B75F0C" w:rsidP="00B75F0C">
      <w:pPr>
        <w:spacing w:after="0" w:line="240" w:lineRule="auto"/>
        <w:rPr>
          <w:rFonts w:ascii="Arial" w:hAnsi="Arial" w:cs="Arial"/>
          <w:b/>
        </w:rPr>
      </w:pPr>
    </w:p>
    <w:p w14:paraId="360F2836" w14:textId="77777777" w:rsidR="00B75F0C" w:rsidRDefault="00B75F0C" w:rsidP="00B75F0C">
      <w:pPr>
        <w:spacing w:after="0" w:line="240" w:lineRule="auto"/>
        <w:rPr>
          <w:rFonts w:ascii="Arial" w:hAnsi="Arial" w:cs="Arial"/>
          <w:b/>
        </w:rPr>
      </w:pPr>
    </w:p>
    <w:p w14:paraId="7E866752" w14:textId="77777777" w:rsidR="00B75F0C" w:rsidRDefault="00B75F0C" w:rsidP="00B75F0C">
      <w:pPr>
        <w:spacing w:after="0" w:line="240" w:lineRule="auto"/>
        <w:rPr>
          <w:rFonts w:ascii="Arial" w:hAnsi="Arial" w:cs="Arial"/>
          <w:b/>
        </w:rPr>
      </w:pPr>
    </w:p>
    <w:p w14:paraId="0536AE7A" w14:textId="77777777" w:rsidR="00B75F0C" w:rsidRDefault="00B75F0C" w:rsidP="00B75F0C">
      <w:pPr>
        <w:spacing w:after="0" w:line="240" w:lineRule="auto"/>
        <w:rPr>
          <w:rFonts w:ascii="Arial" w:hAnsi="Arial" w:cs="Arial"/>
          <w:b/>
        </w:rPr>
      </w:pPr>
    </w:p>
    <w:p w14:paraId="56FC31D1" w14:textId="77777777" w:rsidR="00B75F0C" w:rsidRDefault="00B75F0C" w:rsidP="00B75F0C">
      <w:pPr>
        <w:spacing w:after="0" w:line="240" w:lineRule="auto"/>
        <w:rPr>
          <w:rFonts w:ascii="Arial" w:hAnsi="Arial" w:cs="Arial"/>
          <w:b/>
        </w:rPr>
      </w:pPr>
    </w:p>
    <w:p w14:paraId="240FF2EC" w14:textId="77777777" w:rsidR="00B75F0C" w:rsidRPr="00CD4651" w:rsidRDefault="00B75F0C" w:rsidP="00B75F0C">
      <w:pPr>
        <w:spacing w:after="0" w:line="240" w:lineRule="auto"/>
        <w:rPr>
          <w:rFonts w:ascii="Arial" w:hAnsi="Arial" w:cs="Arial"/>
          <w:b/>
        </w:rPr>
      </w:pPr>
      <w:r>
        <w:rPr>
          <w:rFonts w:ascii="Arial" w:hAnsi="Arial" w:cs="Arial"/>
          <w:b/>
        </w:rPr>
        <w:t>J</w:t>
      </w:r>
      <w:r w:rsidRPr="00CE03CE">
        <w:rPr>
          <w:rFonts w:ascii="Arial" w:hAnsi="Arial" w:cs="Arial"/>
          <w:b/>
        </w:rPr>
        <w:t>ak hodnotíte současnou úroveň exportu?</w:t>
      </w:r>
    </w:p>
    <w:p w14:paraId="12E712F7" w14:textId="77777777" w:rsidR="00B75F0C" w:rsidRDefault="00B75F0C" w:rsidP="00B75F0C">
      <w:pPr>
        <w:spacing w:after="0" w:line="240" w:lineRule="auto"/>
        <w:ind w:left="-567"/>
        <w:jc w:val="both"/>
        <w:rPr>
          <w:rFonts w:ascii="Arial" w:hAnsi="Arial" w:cs="Arial"/>
        </w:rPr>
      </w:pPr>
      <w:r>
        <w:rPr>
          <w:noProof/>
        </w:rPr>
        <w:drawing>
          <wp:inline distT="0" distB="0" distL="0" distR="0" wp14:anchorId="0C268BAA" wp14:editId="2B8BEEE0">
            <wp:extent cx="5621036" cy="2142950"/>
            <wp:effectExtent l="0" t="0" r="0" b="0"/>
            <wp:docPr id="7" name="Chart 7">
              <a:extLst xmlns:a="http://schemas.openxmlformats.org/drawingml/2006/main">
                <a:ext uri="{FF2B5EF4-FFF2-40B4-BE49-F238E27FC236}">
                  <a16:creationId xmlns:a16="http://schemas.microsoft.com/office/drawing/2014/main" id="{F89B8927-6898-45F0-90FA-D74FA5BBF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CF4F4B" w14:textId="77777777" w:rsidR="00B75F0C" w:rsidRDefault="00B75F0C" w:rsidP="00B75F0C">
      <w:pPr>
        <w:spacing w:after="0" w:line="240" w:lineRule="auto"/>
        <w:jc w:val="both"/>
        <w:rPr>
          <w:rFonts w:ascii="Arial" w:hAnsi="Arial" w:cs="Arial"/>
        </w:rPr>
      </w:pPr>
    </w:p>
    <w:p w14:paraId="3D21C79D" w14:textId="75476658" w:rsidR="00B75F0C" w:rsidRDefault="00B75F0C" w:rsidP="00B75F0C">
      <w:pPr>
        <w:spacing w:after="0" w:line="240" w:lineRule="auto"/>
        <w:ind w:left="-567"/>
        <w:jc w:val="both"/>
        <w:rPr>
          <w:rFonts w:ascii="Arial" w:hAnsi="Arial" w:cs="Arial"/>
        </w:rPr>
      </w:pPr>
      <w:r>
        <w:rPr>
          <w:rFonts w:ascii="Arial" w:hAnsi="Arial" w:cs="Arial"/>
          <w:b/>
        </w:rPr>
        <w:t>Povzbuzující zprávou jsou výrazně lepší vyhlídky do budoucna. Očekává</w:t>
      </w:r>
      <w:r w:rsidRPr="003F07C3">
        <w:rPr>
          <w:rFonts w:ascii="Arial" w:hAnsi="Arial" w:cs="Arial"/>
          <w:b/>
        </w:rPr>
        <w:t>ní ohledně vývoje v následujících tř</w:t>
      </w:r>
      <w:r>
        <w:rPr>
          <w:rFonts w:ascii="Arial" w:hAnsi="Arial" w:cs="Arial"/>
          <w:b/>
        </w:rPr>
        <w:t xml:space="preserve">ech měsících se </w:t>
      </w:r>
      <w:r w:rsidRPr="002D28DC">
        <w:rPr>
          <w:rFonts w:ascii="Arial" w:hAnsi="Arial" w:cs="Arial"/>
          <w:b/>
        </w:rPr>
        <w:t>vyšplhala na nejvyšší průměrnou hodnotu od</w:t>
      </w:r>
      <w:r w:rsidR="001E4E57" w:rsidRPr="002D28DC">
        <w:rPr>
          <w:rFonts w:ascii="Arial" w:hAnsi="Arial" w:cs="Arial"/>
          <w:b/>
        </w:rPr>
        <w:t xml:space="preserve"> druhého čtvrtletí</w:t>
      </w:r>
      <w:r w:rsidRPr="002D28DC">
        <w:rPr>
          <w:rFonts w:ascii="Arial" w:hAnsi="Arial" w:cs="Arial"/>
          <w:b/>
        </w:rPr>
        <w:t xml:space="preserve"> 201</w:t>
      </w:r>
      <w:r w:rsidR="001E4E57" w:rsidRPr="002D28DC">
        <w:rPr>
          <w:rFonts w:ascii="Arial" w:hAnsi="Arial" w:cs="Arial"/>
          <w:b/>
        </w:rPr>
        <w:t>6</w:t>
      </w:r>
      <w:r w:rsidRPr="002D28DC">
        <w:rPr>
          <w:rFonts w:ascii="Arial" w:hAnsi="Arial" w:cs="Arial"/>
          <w:b/>
        </w:rPr>
        <w:t xml:space="preserve">. </w:t>
      </w:r>
      <w:r w:rsidRPr="002D28DC">
        <w:rPr>
          <w:rFonts w:ascii="Arial" w:hAnsi="Arial" w:cs="Arial"/>
        </w:rPr>
        <w:t>„</w:t>
      </w:r>
      <w:r w:rsidRPr="002D28DC">
        <w:rPr>
          <w:rFonts w:ascii="Arial" w:hAnsi="Arial" w:cs="Arial"/>
          <w:i/>
        </w:rPr>
        <w:t>Zda se tato velmi vysoká očekávání naplní, bude záviset na postupu v očkování nejen v České republice, ale i v zahraničí.</w:t>
      </w:r>
      <w:bookmarkStart w:id="0" w:name="_GoBack"/>
      <w:bookmarkEnd w:id="0"/>
      <w:r>
        <w:rPr>
          <w:rFonts w:ascii="Arial" w:hAnsi="Arial" w:cs="Arial"/>
          <w:i/>
        </w:rPr>
        <w:t xml:space="preserve"> Dalším důležitým faktorem bude doba přetrvávání nedostatku výrobního materiálu a dalších komplikací v dodavatelských řetězcích</w:t>
      </w:r>
      <w:r w:rsidR="00FB6FBD">
        <w:rPr>
          <w:rFonts w:ascii="Arial" w:hAnsi="Arial" w:cs="Arial"/>
          <w:i/>
        </w:rPr>
        <w:t>,</w:t>
      </w:r>
      <w:r>
        <w:rPr>
          <w:rFonts w:ascii="Arial" w:hAnsi="Arial" w:cs="Arial"/>
          <w:i/>
        </w:rPr>
        <w:t xml:space="preserve">“ </w:t>
      </w:r>
      <w:r>
        <w:rPr>
          <w:rFonts w:ascii="Arial" w:hAnsi="Arial" w:cs="Arial"/>
          <w:iCs/>
        </w:rPr>
        <w:t xml:space="preserve">komentuje </w:t>
      </w:r>
      <w:r w:rsidR="00FB6FBD">
        <w:rPr>
          <w:rFonts w:ascii="Arial" w:hAnsi="Arial" w:cs="Arial"/>
          <w:iCs/>
        </w:rPr>
        <w:t xml:space="preserve">David </w:t>
      </w:r>
      <w:r>
        <w:rPr>
          <w:rFonts w:ascii="Arial" w:hAnsi="Arial" w:cs="Arial"/>
        </w:rPr>
        <w:t>Vagenknecht</w:t>
      </w:r>
      <w:r w:rsidRPr="003F07C3">
        <w:rPr>
          <w:rFonts w:ascii="Arial" w:hAnsi="Arial" w:cs="Arial"/>
        </w:rPr>
        <w:t>.</w:t>
      </w:r>
    </w:p>
    <w:p w14:paraId="53F3A3EE" w14:textId="77777777" w:rsidR="00B75F0C" w:rsidRDefault="00B75F0C" w:rsidP="00B75F0C">
      <w:pPr>
        <w:spacing w:after="0" w:line="240" w:lineRule="auto"/>
        <w:ind w:left="-567"/>
        <w:jc w:val="both"/>
        <w:rPr>
          <w:rFonts w:ascii="Arial" w:hAnsi="Arial" w:cs="Arial"/>
        </w:rPr>
      </w:pPr>
    </w:p>
    <w:p w14:paraId="44E4CFC1" w14:textId="77777777" w:rsidR="00B75F0C" w:rsidRDefault="00B75F0C" w:rsidP="00B75F0C">
      <w:pPr>
        <w:spacing w:after="0" w:line="240" w:lineRule="auto"/>
        <w:ind w:left="-567"/>
        <w:jc w:val="both"/>
        <w:rPr>
          <w:rFonts w:ascii="Arial" w:hAnsi="Arial" w:cs="Arial"/>
        </w:rPr>
      </w:pPr>
    </w:p>
    <w:p w14:paraId="19030757" w14:textId="77777777" w:rsidR="00B75F0C" w:rsidRPr="00CE03CE" w:rsidRDefault="00B75F0C" w:rsidP="00B75F0C">
      <w:pPr>
        <w:spacing w:after="0" w:line="240" w:lineRule="auto"/>
        <w:ind w:left="-567" w:firstLine="567"/>
        <w:rPr>
          <w:rFonts w:ascii="Arial" w:hAnsi="Arial" w:cs="Arial"/>
          <w:b/>
          <w:highlight w:val="yellow"/>
        </w:rPr>
      </w:pPr>
      <w:r w:rsidRPr="00CE03CE">
        <w:rPr>
          <w:rFonts w:ascii="Arial" w:hAnsi="Arial" w:cs="Arial"/>
          <w:b/>
        </w:rPr>
        <w:t>Jaký očekáváte vývoj exportu za tři měsíce?</w:t>
      </w:r>
    </w:p>
    <w:p w14:paraId="243D617C" w14:textId="77777777" w:rsidR="00B75F0C" w:rsidRDefault="00B75F0C" w:rsidP="00B75F0C">
      <w:pPr>
        <w:spacing w:after="0" w:line="240" w:lineRule="auto"/>
        <w:ind w:left="-567"/>
        <w:jc w:val="both"/>
        <w:rPr>
          <w:rFonts w:ascii="Arial" w:hAnsi="Arial" w:cs="Arial"/>
        </w:rPr>
      </w:pPr>
      <w:r>
        <w:rPr>
          <w:noProof/>
        </w:rPr>
        <w:drawing>
          <wp:inline distT="0" distB="0" distL="0" distR="0" wp14:anchorId="54C3DFA5" wp14:editId="58C8B3E7">
            <wp:extent cx="5760720" cy="2270760"/>
            <wp:effectExtent l="0" t="0" r="0" b="0"/>
            <wp:docPr id="13" name="Chart 13">
              <a:extLst xmlns:a="http://schemas.openxmlformats.org/drawingml/2006/main">
                <a:ext uri="{FF2B5EF4-FFF2-40B4-BE49-F238E27FC236}">
                  <a16:creationId xmlns:a16="http://schemas.microsoft.com/office/drawing/2014/main" id="{88A5617D-71B9-4C7C-BF0D-B3BE13D1E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D19375" w14:textId="77777777" w:rsidR="00B75F0C" w:rsidRPr="000052C9" w:rsidRDefault="00B75F0C" w:rsidP="00B75F0C">
      <w:pPr>
        <w:spacing w:after="0" w:line="240" w:lineRule="auto"/>
        <w:rPr>
          <w:rFonts w:ascii="Arial" w:hAnsi="Arial" w:cs="Arial"/>
          <w:i/>
          <w:sz w:val="18"/>
          <w:szCs w:val="18"/>
        </w:rPr>
      </w:pPr>
      <w:r w:rsidRPr="000052C9">
        <w:rPr>
          <w:rFonts w:ascii="Arial" w:hAnsi="Arial" w:cs="Arial"/>
          <w:i/>
          <w:sz w:val="18"/>
          <w:szCs w:val="18"/>
        </w:rPr>
        <w:t>Zdroj: Šetření mezi exportéry v </w:t>
      </w:r>
      <w:r w:rsidRPr="00FB6FBD">
        <w:rPr>
          <w:rFonts w:ascii="Arial" w:hAnsi="Arial" w:cs="Arial"/>
          <w:i/>
          <w:sz w:val="18"/>
          <w:szCs w:val="18"/>
        </w:rPr>
        <w:t>termínu 17. – 28. 3. 2021</w:t>
      </w:r>
      <w:r w:rsidRPr="000052C9">
        <w:rPr>
          <w:rFonts w:ascii="Arial" w:hAnsi="Arial" w:cs="Arial"/>
          <w:i/>
          <w:sz w:val="18"/>
          <w:szCs w:val="18"/>
        </w:rPr>
        <w:t>. Raiffeisenbank a.s. a Asociace exportérů.</w:t>
      </w:r>
      <w:r w:rsidRPr="006106C8">
        <w:rPr>
          <w:rFonts w:ascii="Arial" w:hAnsi="Arial" w:cs="Arial"/>
          <w:i/>
          <w:sz w:val="18"/>
          <w:szCs w:val="18"/>
        </w:rPr>
        <w:t xml:space="preserve"> </w:t>
      </w:r>
    </w:p>
    <w:p w14:paraId="4012DF4C" w14:textId="77777777" w:rsidR="00B75F0C" w:rsidRDefault="00B75F0C" w:rsidP="00B75F0C">
      <w:pPr>
        <w:spacing w:after="0" w:line="240" w:lineRule="auto"/>
        <w:ind w:left="-567"/>
        <w:jc w:val="both"/>
        <w:rPr>
          <w:rFonts w:ascii="Arial" w:hAnsi="Arial" w:cs="Arial"/>
        </w:rPr>
      </w:pPr>
    </w:p>
    <w:p w14:paraId="2F0D40C0" w14:textId="77777777" w:rsidR="00B75F0C" w:rsidRDefault="00B75F0C" w:rsidP="00B75F0C">
      <w:pPr>
        <w:spacing w:after="0" w:line="240" w:lineRule="auto"/>
        <w:rPr>
          <w:rFonts w:ascii="Arial" w:hAnsi="Arial" w:cs="Arial"/>
        </w:rPr>
      </w:pPr>
    </w:p>
    <w:p w14:paraId="2A79CCEF" w14:textId="77777777" w:rsidR="00B75F0C" w:rsidRDefault="00B75F0C" w:rsidP="00B75F0C">
      <w:pPr>
        <w:rPr>
          <w:rFonts w:ascii="Arial" w:hAnsi="Arial" w:cs="Arial"/>
          <w:b/>
        </w:rPr>
      </w:pPr>
      <w:r>
        <w:rPr>
          <w:rFonts w:ascii="Arial" w:hAnsi="Arial" w:cs="Arial"/>
          <w:b/>
        </w:rPr>
        <w:br w:type="page"/>
      </w:r>
    </w:p>
    <w:p w14:paraId="1DB7B5BB" w14:textId="77777777" w:rsidR="00B75F0C" w:rsidRPr="00CD4651" w:rsidRDefault="00B75F0C" w:rsidP="00B75F0C">
      <w:pPr>
        <w:spacing w:after="0" w:line="240" w:lineRule="auto"/>
        <w:rPr>
          <w:rFonts w:ascii="Arial" w:hAnsi="Arial" w:cs="Arial"/>
          <w:b/>
        </w:rPr>
      </w:pPr>
      <w:r>
        <w:rPr>
          <w:rFonts w:ascii="Arial" w:hAnsi="Arial" w:cs="Arial"/>
          <w:b/>
        </w:rPr>
        <w:lastRenderedPageBreak/>
        <w:t>COVID-A</w:t>
      </w:r>
      <w:r w:rsidRPr="00041E1D">
        <w:rPr>
          <w:rFonts w:ascii="Arial" w:hAnsi="Arial" w:cs="Arial"/>
          <w:b/>
        </w:rPr>
        <w:t xml:space="preserve">nketa mezi českými vývozci </w:t>
      </w:r>
    </w:p>
    <w:p w14:paraId="2BC396A9" w14:textId="77777777" w:rsidR="00B75F0C" w:rsidRDefault="00B75F0C" w:rsidP="00B75F0C">
      <w:pPr>
        <w:spacing w:after="0" w:line="240" w:lineRule="auto"/>
        <w:rPr>
          <w:rFonts w:ascii="Arial" w:hAnsi="Arial" w:cs="Arial"/>
          <w:b/>
        </w:rPr>
      </w:pPr>
    </w:p>
    <w:p w14:paraId="09778F10" w14:textId="429E83D6" w:rsidR="00B75F0C" w:rsidRDefault="00B75F0C" w:rsidP="00B75F0C">
      <w:pPr>
        <w:spacing w:after="0" w:line="240" w:lineRule="auto"/>
        <w:jc w:val="both"/>
        <w:rPr>
          <w:rFonts w:ascii="Arial" w:hAnsi="Arial" w:cs="Arial"/>
        </w:rPr>
      </w:pPr>
      <w:r>
        <w:rPr>
          <w:rFonts w:ascii="Arial" w:hAnsi="Arial" w:cs="Arial"/>
        </w:rPr>
        <w:t xml:space="preserve">Vzhledem k pokračující nepříznivé pandemické situaci a utahování </w:t>
      </w:r>
      <w:r w:rsidR="00FB6FBD">
        <w:rPr>
          <w:rFonts w:ascii="Arial" w:hAnsi="Arial" w:cs="Arial"/>
        </w:rPr>
        <w:t>proti pandemických</w:t>
      </w:r>
      <w:r>
        <w:rPr>
          <w:rFonts w:ascii="Arial" w:hAnsi="Arial" w:cs="Arial"/>
        </w:rPr>
        <w:t xml:space="preserve"> opatření nejen v tuzemsku, ale i v mnoha zemích Evropy jsme opět k</w:t>
      </w:r>
      <w:r w:rsidRPr="007936C2">
        <w:rPr>
          <w:rFonts w:ascii="Arial" w:hAnsi="Arial" w:cs="Arial"/>
        </w:rPr>
        <w:t>e sta</w:t>
      </w:r>
      <w:r>
        <w:rPr>
          <w:rFonts w:ascii="Arial" w:hAnsi="Arial" w:cs="Arial"/>
        </w:rPr>
        <w:t>ndardnímu šetření připojili otázky</w:t>
      </w:r>
      <w:r w:rsidRPr="003F5695">
        <w:rPr>
          <w:rFonts w:ascii="Arial" w:hAnsi="Arial" w:cs="Arial"/>
        </w:rPr>
        <w:t xml:space="preserve"> </w:t>
      </w:r>
      <w:r>
        <w:rPr>
          <w:rFonts w:ascii="Arial" w:hAnsi="Arial" w:cs="Arial"/>
        </w:rPr>
        <w:t xml:space="preserve">tentokrát týkající se logistické situace, uzavření hranic s Německem, procesu očkování či státní pomoci. </w:t>
      </w:r>
    </w:p>
    <w:p w14:paraId="4AB81F18" w14:textId="77777777" w:rsidR="00B75F0C" w:rsidRDefault="00B75F0C" w:rsidP="00B75F0C">
      <w:pPr>
        <w:spacing w:after="0" w:line="240" w:lineRule="auto"/>
        <w:jc w:val="both"/>
        <w:rPr>
          <w:rFonts w:ascii="Arial" w:hAnsi="Arial" w:cs="Arial"/>
        </w:rPr>
      </w:pPr>
    </w:p>
    <w:p w14:paraId="148DC419" w14:textId="43D01692" w:rsidR="00B75F0C" w:rsidRDefault="00B75F0C" w:rsidP="00B75F0C">
      <w:pPr>
        <w:spacing w:after="0" w:line="240" w:lineRule="auto"/>
        <w:jc w:val="both"/>
        <w:rPr>
          <w:rFonts w:ascii="Arial" w:hAnsi="Arial" w:cs="Arial"/>
        </w:rPr>
      </w:pPr>
      <w:r w:rsidRPr="00996FEC">
        <w:rPr>
          <w:rFonts w:ascii="Arial" w:hAnsi="Arial" w:cs="Arial"/>
          <w:b/>
          <w:bCs/>
        </w:rPr>
        <w:t xml:space="preserve">Aktuální problémy v dodavatelských řetězcích vedly k citelnému nárůstu cen dopravy. Více jak polovina dotázaných uvedla, že tento vývoj vedl ke zvýšení jejich </w:t>
      </w:r>
      <w:r>
        <w:rPr>
          <w:rFonts w:ascii="Arial" w:hAnsi="Arial" w:cs="Arial"/>
          <w:b/>
          <w:bCs/>
        </w:rPr>
        <w:t xml:space="preserve">celkových </w:t>
      </w:r>
      <w:r w:rsidRPr="00996FEC">
        <w:rPr>
          <w:rFonts w:ascii="Arial" w:hAnsi="Arial" w:cs="Arial"/>
          <w:b/>
          <w:bCs/>
        </w:rPr>
        <w:t xml:space="preserve">nákladů, leckde i </w:t>
      </w:r>
      <w:r w:rsidRPr="002D28DC">
        <w:rPr>
          <w:rFonts w:ascii="Arial" w:hAnsi="Arial" w:cs="Arial"/>
          <w:b/>
          <w:bCs/>
        </w:rPr>
        <w:t>velmi značně</w:t>
      </w:r>
      <w:r w:rsidR="00085011" w:rsidRPr="002D28DC">
        <w:rPr>
          <w:rFonts w:ascii="Arial" w:hAnsi="Arial" w:cs="Arial"/>
          <w:b/>
          <w:bCs/>
        </w:rPr>
        <w:t xml:space="preserve"> (u 29 % respondentů)</w:t>
      </w:r>
      <w:r w:rsidRPr="002D28DC">
        <w:rPr>
          <w:rFonts w:ascii="Arial" w:hAnsi="Arial" w:cs="Arial"/>
          <w:b/>
          <w:bCs/>
        </w:rPr>
        <w:t>.</w:t>
      </w:r>
      <w:r>
        <w:rPr>
          <w:rFonts w:ascii="Arial" w:hAnsi="Arial" w:cs="Arial"/>
          <w:b/>
          <w:bCs/>
        </w:rPr>
        <w:t xml:space="preserve"> </w:t>
      </w:r>
      <w:r w:rsidRPr="00996FEC">
        <w:rPr>
          <w:rFonts w:ascii="Arial" w:hAnsi="Arial" w:cs="Arial"/>
          <w:b/>
          <w:bCs/>
        </w:rPr>
        <w:t xml:space="preserve"> </w:t>
      </w:r>
      <w:r w:rsidRPr="00996FEC">
        <w:rPr>
          <w:rFonts w:ascii="Arial" w:hAnsi="Arial" w:cs="Arial"/>
        </w:rPr>
        <w:t xml:space="preserve">Pouze </w:t>
      </w:r>
      <w:r>
        <w:rPr>
          <w:rFonts w:ascii="Arial" w:hAnsi="Arial" w:cs="Arial"/>
        </w:rPr>
        <w:t xml:space="preserve">21 % uvedlo, že se jich cenové tlaky nedotkly, jelikož si dopravu zajištují sami anebo mají ceny přepravy dopředu nasmlouvané. </w:t>
      </w:r>
      <w:r w:rsidRPr="00996FEC">
        <w:rPr>
          <w:rFonts w:ascii="Arial" w:hAnsi="Arial" w:cs="Arial"/>
          <w:b/>
          <w:bCs/>
        </w:rPr>
        <w:t>Dále více</w:t>
      </w:r>
      <w:r>
        <w:rPr>
          <w:rFonts w:ascii="Arial" w:hAnsi="Arial" w:cs="Arial"/>
          <w:b/>
        </w:rPr>
        <w:t xml:space="preserve"> </w:t>
      </w:r>
      <w:r w:rsidR="00FB6FBD">
        <w:rPr>
          <w:rFonts w:ascii="Arial" w:hAnsi="Arial" w:cs="Arial"/>
          <w:b/>
        </w:rPr>
        <w:t>než</w:t>
      </w:r>
      <w:r>
        <w:rPr>
          <w:rFonts w:ascii="Arial" w:hAnsi="Arial" w:cs="Arial"/>
          <w:b/>
        </w:rPr>
        <w:t xml:space="preserve"> polovina dotázaných exportérů</w:t>
      </w:r>
      <w:r w:rsidR="00FB6FBD" w:rsidRPr="00FB6FBD">
        <w:rPr>
          <w:rFonts w:ascii="Arial" w:hAnsi="Arial" w:cs="Arial"/>
          <w:b/>
          <w:bCs/>
        </w:rPr>
        <w:t xml:space="preserve"> </w:t>
      </w:r>
      <w:r w:rsidR="00FB6FBD" w:rsidRPr="00996FEC">
        <w:rPr>
          <w:rFonts w:ascii="Arial" w:hAnsi="Arial" w:cs="Arial"/>
          <w:b/>
          <w:bCs/>
        </w:rPr>
        <w:t>uvedla</w:t>
      </w:r>
      <w:r>
        <w:rPr>
          <w:rFonts w:ascii="Arial" w:hAnsi="Arial" w:cs="Arial"/>
          <w:b/>
        </w:rPr>
        <w:t xml:space="preserve">, že jejich aktivita byla negativně zasažena uzavřením hranic s Německem. </w:t>
      </w:r>
      <w:r w:rsidRPr="00996FEC">
        <w:rPr>
          <w:rFonts w:ascii="Arial" w:hAnsi="Arial" w:cs="Arial"/>
          <w:bCs/>
        </w:rPr>
        <w:t xml:space="preserve">Nicméně </w:t>
      </w:r>
      <w:r>
        <w:rPr>
          <w:rFonts w:ascii="Arial" w:hAnsi="Arial" w:cs="Arial"/>
          <w:bCs/>
        </w:rPr>
        <w:t xml:space="preserve">v drtivé většině došlo jen k drobným komplikacím. </w:t>
      </w:r>
    </w:p>
    <w:p w14:paraId="1DA8A789" w14:textId="77777777" w:rsidR="00B75F0C" w:rsidRDefault="00B75F0C" w:rsidP="00B75F0C">
      <w:pPr>
        <w:spacing w:after="0" w:line="240" w:lineRule="auto"/>
        <w:jc w:val="both"/>
        <w:rPr>
          <w:rFonts w:ascii="Arial" w:hAnsi="Arial" w:cs="Arial"/>
        </w:rPr>
      </w:pPr>
    </w:p>
    <w:p w14:paraId="6A2FEBF0" w14:textId="77777777" w:rsidR="00B75F0C" w:rsidRDefault="00B75F0C" w:rsidP="00B75F0C">
      <w:pPr>
        <w:spacing w:after="0" w:line="240" w:lineRule="auto"/>
        <w:jc w:val="both"/>
        <w:rPr>
          <w:rFonts w:ascii="Arial" w:hAnsi="Arial" w:cs="Arial"/>
        </w:rPr>
      </w:pPr>
    </w:p>
    <w:p w14:paraId="4B7B46BB" w14:textId="77777777" w:rsidR="00B75F0C" w:rsidRPr="00996FEC" w:rsidRDefault="00B75F0C" w:rsidP="00B75F0C">
      <w:pPr>
        <w:spacing w:after="0" w:line="240" w:lineRule="auto"/>
        <w:ind w:left="-567" w:firstLine="567"/>
        <w:rPr>
          <w:rFonts w:ascii="Arial" w:hAnsi="Arial" w:cs="Arial"/>
          <w:b/>
          <w:highlight w:val="yellow"/>
        </w:rPr>
      </w:pPr>
      <w:r>
        <w:rPr>
          <w:rFonts w:ascii="Arial" w:hAnsi="Arial" w:cs="Arial"/>
          <w:b/>
        </w:rPr>
        <w:t>Finanční zasažení zvýšením cen dopravy (primárně kontejnerové)</w:t>
      </w:r>
    </w:p>
    <w:p w14:paraId="53554707" w14:textId="77777777" w:rsidR="00B75F0C" w:rsidRDefault="00B75F0C" w:rsidP="00B75F0C">
      <w:pPr>
        <w:spacing w:after="0" w:line="240" w:lineRule="auto"/>
        <w:jc w:val="both"/>
        <w:rPr>
          <w:rFonts w:ascii="Arial" w:hAnsi="Arial" w:cs="Arial"/>
        </w:rPr>
      </w:pPr>
    </w:p>
    <w:p w14:paraId="0992C23F" w14:textId="671C8A56" w:rsidR="00B75F0C" w:rsidRPr="00996FEC" w:rsidRDefault="00C43415" w:rsidP="00B75F0C">
      <w:pPr>
        <w:spacing w:after="0" w:line="240" w:lineRule="auto"/>
        <w:jc w:val="both"/>
        <w:rPr>
          <w:rFonts w:ascii="Arial" w:hAnsi="Arial" w:cs="Arial"/>
        </w:rPr>
      </w:pPr>
      <w:r>
        <w:rPr>
          <w:noProof/>
        </w:rPr>
        <w:drawing>
          <wp:inline distT="0" distB="0" distL="0" distR="0" wp14:anchorId="4CF3E9F2" wp14:editId="4A670210">
            <wp:extent cx="5475252" cy="1831456"/>
            <wp:effectExtent l="0" t="0" r="0" b="0"/>
            <wp:docPr id="3" name="Chart 3">
              <a:extLst xmlns:a="http://schemas.openxmlformats.org/drawingml/2006/main">
                <a:ext uri="{FF2B5EF4-FFF2-40B4-BE49-F238E27FC236}">
                  <a16:creationId xmlns:a16="http://schemas.microsoft.com/office/drawing/2014/main" id="{310DE5ED-04C4-440C-B00E-EB327C385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32912C" w14:textId="77777777" w:rsidR="00B75F0C" w:rsidRDefault="00B75F0C" w:rsidP="00B75F0C">
      <w:pPr>
        <w:spacing w:after="0" w:line="240" w:lineRule="auto"/>
        <w:jc w:val="both"/>
        <w:rPr>
          <w:rFonts w:ascii="Arial" w:hAnsi="Arial" w:cs="Arial"/>
          <w:b/>
        </w:rPr>
      </w:pPr>
    </w:p>
    <w:p w14:paraId="54F83E38" w14:textId="77777777" w:rsidR="00B75F0C" w:rsidRDefault="00B75F0C" w:rsidP="00B75F0C">
      <w:pPr>
        <w:spacing w:after="0" w:line="240" w:lineRule="auto"/>
        <w:ind w:left="-567" w:firstLine="567"/>
        <w:rPr>
          <w:rFonts w:ascii="Arial" w:hAnsi="Arial" w:cs="Arial"/>
          <w:b/>
        </w:rPr>
      </w:pPr>
    </w:p>
    <w:p w14:paraId="5277C023" w14:textId="77777777" w:rsidR="00B75F0C" w:rsidRPr="00996FEC" w:rsidRDefault="00B75F0C" w:rsidP="00B75F0C">
      <w:pPr>
        <w:spacing w:after="0" w:line="240" w:lineRule="auto"/>
        <w:ind w:left="-567" w:firstLine="567"/>
        <w:rPr>
          <w:rFonts w:ascii="Arial" w:hAnsi="Arial" w:cs="Arial"/>
          <w:b/>
          <w:highlight w:val="yellow"/>
        </w:rPr>
      </w:pPr>
      <w:r>
        <w:rPr>
          <w:rFonts w:ascii="Arial" w:hAnsi="Arial" w:cs="Arial"/>
          <w:b/>
        </w:rPr>
        <w:t>Ovlivnění podnikání uzavřením hranic s Německem</w:t>
      </w:r>
    </w:p>
    <w:p w14:paraId="5712D7BB" w14:textId="77777777" w:rsidR="00B75F0C" w:rsidRDefault="00B75F0C" w:rsidP="00B75F0C">
      <w:pPr>
        <w:spacing w:after="0" w:line="240" w:lineRule="auto"/>
        <w:jc w:val="both"/>
        <w:rPr>
          <w:rFonts w:ascii="Arial" w:hAnsi="Arial" w:cs="Arial"/>
          <w:b/>
        </w:rPr>
      </w:pPr>
    </w:p>
    <w:p w14:paraId="437CF425" w14:textId="6E0DFB6E" w:rsidR="00B75F0C" w:rsidRDefault="00C43415" w:rsidP="00B75F0C">
      <w:pPr>
        <w:spacing w:after="0" w:line="240" w:lineRule="auto"/>
        <w:jc w:val="both"/>
        <w:rPr>
          <w:rFonts w:ascii="Arial" w:hAnsi="Arial" w:cs="Arial"/>
          <w:b/>
        </w:rPr>
      </w:pPr>
      <w:r>
        <w:rPr>
          <w:noProof/>
        </w:rPr>
        <w:drawing>
          <wp:inline distT="0" distB="0" distL="0" distR="0" wp14:anchorId="434EF267" wp14:editId="74FC62A1">
            <wp:extent cx="5475252" cy="2143333"/>
            <wp:effectExtent l="0" t="0" r="0" b="0"/>
            <wp:docPr id="5" name="Chart 5">
              <a:extLst xmlns:a="http://schemas.openxmlformats.org/drawingml/2006/main">
                <a:ext uri="{FF2B5EF4-FFF2-40B4-BE49-F238E27FC236}">
                  <a16:creationId xmlns:a16="http://schemas.microsoft.com/office/drawing/2014/main" id="{D9200D09-9FC7-4706-855B-1EB4EAC24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AEFB92" w14:textId="45BBF77F" w:rsidR="00B75F0C" w:rsidRPr="003B1491" w:rsidRDefault="00B75F0C" w:rsidP="00B75F0C">
      <w:pPr>
        <w:spacing w:after="0" w:line="240" w:lineRule="auto"/>
        <w:jc w:val="both"/>
        <w:rPr>
          <w:rFonts w:ascii="Arial" w:hAnsi="Arial" w:cs="Arial"/>
          <w:bCs/>
        </w:rPr>
      </w:pPr>
      <w:r w:rsidRPr="0017347F">
        <w:rPr>
          <w:rFonts w:ascii="Arial" w:hAnsi="Arial" w:cs="Arial"/>
          <w:b/>
        </w:rPr>
        <w:lastRenderedPageBreak/>
        <w:t xml:space="preserve">V otázce </w:t>
      </w:r>
      <w:r>
        <w:rPr>
          <w:rFonts w:ascii="Arial" w:hAnsi="Arial" w:cs="Arial"/>
          <w:b/>
        </w:rPr>
        <w:t xml:space="preserve">procesu očkování označili respondenti možnost přednostního zajištění očkování pro své zaměstnance jako lákavé. </w:t>
      </w:r>
      <w:r>
        <w:rPr>
          <w:rFonts w:ascii="Arial" w:hAnsi="Arial" w:cs="Arial"/>
          <w:bCs/>
        </w:rPr>
        <w:t>„</w:t>
      </w:r>
      <w:r w:rsidRPr="003B1491">
        <w:rPr>
          <w:rFonts w:ascii="Arial" w:hAnsi="Arial" w:cs="Arial"/>
          <w:bCs/>
          <w:i/>
          <w:iCs/>
        </w:rPr>
        <w:t>Kromě již zmíněných negativních nepřímých dopadů souvisejících s uzavírkami a pandemií jako takovou (problémy v logistice, uzavření hranic) lze přičíst další komplikace v podobě chybějících zaměstnanců, kteří jsou na nemocenské či izolovaní v karanténě. S tímto problémem by ještě lépe n</w:t>
      </w:r>
      <w:r w:rsidR="00085011">
        <w:rPr>
          <w:rFonts w:ascii="Arial" w:hAnsi="Arial" w:cs="Arial"/>
          <w:bCs/>
          <w:i/>
          <w:iCs/>
        </w:rPr>
        <w:t>e</w:t>
      </w:r>
      <w:r w:rsidRPr="003B1491">
        <w:rPr>
          <w:rFonts w:ascii="Arial" w:hAnsi="Arial" w:cs="Arial"/>
          <w:bCs/>
          <w:i/>
          <w:iCs/>
        </w:rPr>
        <w:t>ž pravidelné testování na C</w:t>
      </w:r>
      <w:r>
        <w:rPr>
          <w:rFonts w:ascii="Arial" w:hAnsi="Arial" w:cs="Arial"/>
          <w:bCs/>
          <w:i/>
          <w:iCs/>
        </w:rPr>
        <w:t>OVID</w:t>
      </w:r>
      <w:r w:rsidRPr="003B1491">
        <w:rPr>
          <w:rFonts w:ascii="Arial" w:hAnsi="Arial" w:cs="Arial"/>
          <w:bCs/>
          <w:i/>
          <w:iCs/>
        </w:rPr>
        <w:t>-19 pomohla možnost přednostně zajistit očkování zaměstnanců</w:t>
      </w:r>
      <w:r w:rsidR="00FB6FBD">
        <w:rPr>
          <w:rFonts w:ascii="Arial" w:hAnsi="Arial" w:cs="Arial"/>
          <w:bCs/>
          <w:i/>
          <w:iCs/>
        </w:rPr>
        <w:t xml:space="preserve"> firem,</w:t>
      </w:r>
      <w:r>
        <w:rPr>
          <w:rFonts w:ascii="Arial" w:hAnsi="Arial" w:cs="Arial"/>
          <w:bCs/>
        </w:rPr>
        <w:t xml:space="preserve">“ dodává Vagenknecht. </w:t>
      </w:r>
    </w:p>
    <w:p w14:paraId="72F5D87E" w14:textId="77777777" w:rsidR="00B75F0C" w:rsidRDefault="00B75F0C" w:rsidP="00B75F0C">
      <w:pPr>
        <w:spacing w:after="0" w:line="240" w:lineRule="auto"/>
        <w:jc w:val="both"/>
        <w:rPr>
          <w:rFonts w:ascii="Arial" w:hAnsi="Arial" w:cs="Arial"/>
          <w:b/>
        </w:rPr>
      </w:pPr>
    </w:p>
    <w:p w14:paraId="5C7F4C6A" w14:textId="77777777" w:rsidR="00B75F0C" w:rsidRPr="00996FEC" w:rsidRDefault="00B75F0C" w:rsidP="00B75F0C">
      <w:pPr>
        <w:spacing w:after="0" w:line="240" w:lineRule="auto"/>
        <w:rPr>
          <w:rFonts w:ascii="Arial" w:hAnsi="Arial" w:cs="Arial"/>
          <w:b/>
          <w:highlight w:val="yellow"/>
        </w:rPr>
      </w:pPr>
      <w:r>
        <w:rPr>
          <w:rFonts w:ascii="Arial" w:hAnsi="Arial" w:cs="Arial"/>
          <w:b/>
        </w:rPr>
        <w:t>Využití možnosti přednostně zajistit očkování vakcínami proti COVID-19 pro zaměstnance</w:t>
      </w:r>
    </w:p>
    <w:p w14:paraId="1AA3550D" w14:textId="77777777" w:rsidR="00B75F0C" w:rsidRDefault="00B75F0C" w:rsidP="00B75F0C">
      <w:pPr>
        <w:spacing w:after="0" w:line="240" w:lineRule="auto"/>
        <w:jc w:val="both"/>
        <w:rPr>
          <w:rFonts w:ascii="Arial" w:hAnsi="Arial" w:cs="Arial"/>
          <w:b/>
        </w:rPr>
      </w:pPr>
    </w:p>
    <w:p w14:paraId="0702A5B3" w14:textId="0640F66F" w:rsidR="00B75F0C" w:rsidRDefault="00C43415" w:rsidP="00B75F0C">
      <w:pPr>
        <w:spacing w:after="0" w:line="240" w:lineRule="auto"/>
        <w:jc w:val="both"/>
        <w:rPr>
          <w:rFonts w:ascii="Arial" w:hAnsi="Arial" w:cs="Arial"/>
          <w:b/>
        </w:rPr>
      </w:pPr>
      <w:r>
        <w:rPr>
          <w:noProof/>
        </w:rPr>
        <w:drawing>
          <wp:inline distT="0" distB="0" distL="0" distR="0" wp14:anchorId="053AC76F" wp14:editId="4E86E65B">
            <wp:extent cx="5475252" cy="2005391"/>
            <wp:effectExtent l="0" t="0" r="11430" b="13970"/>
            <wp:docPr id="6" name="Chart 6">
              <a:extLst xmlns:a="http://schemas.openxmlformats.org/drawingml/2006/main">
                <a:ext uri="{FF2B5EF4-FFF2-40B4-BE49-F238E27FC236}">
                  <a16:creationId xmlns:a16="http://schemas.microsoft.com/office/drawing/2014/main" id="{5A57FD26-9F7B-4C5C-A624-9BBF5B4C6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9B6C91" w14:textId="77777777" w:rsidR="00B75F0C" w:rsidRDefault="00B75F0C" w:rsidP="00B75F0C">
      <w:pPr>
        <w:spacing w:after="0" w:line="240" w:lineRule="auto"/>
        <w:jc w:val="both"/>
        <w:rPr>
          <w:rFonts w:ascii="Arial" w:hAnsi="Arial" w:cs="Arial"/>
          <w:b/>
        </w:rPr>
      </w:pPr>
    </w:p>
    <w:p w14:paraId="64A0B46A" w14:textId="77777777" w:rsidR="00B75F0C" w:rsidRDefault="00B75F0C" w:rsidP="00B75F0C">
      <w:pPr>
        <w:spacing w:after="0" w:line="240" w:lineRule="auto"/>
        <w:jc w:val="both"/>
        <w:rPr>
          <w:rFonts w:ascii="Arial" w:hAnsi="Arial" w:cs="Arial"/>
          <w:b/>
        </w:rPr>
      </w:pPr>
    </w:p>
    <w:p w14:paraId="04363A20" w14:textId="1639D7FB" w:rsidR="00B75F0C" w:rsidRDefault="00B75F0C" w:rsidP="00B75F0C">
      <w:pPr>
        <w:spacing w:after="0" w:line="240" w:lineRule="auto"/>
        <w:jc w:val="both"/>
        <w:rPr>
          <w:rFonts w:ascii="Arial" w:hAnsi="Arial" w:cs="Arial"/>
          <w:bCs/>
        </w:rPr>
      </w:pPr>
      <w:r>
        <w:rPr>
          <w:rFonts w:ascii="Arial" w:hAnsi="Arial" w:cs="Arial"/>
          <w:b/>
        </w:rPr>
        <w:t xml:space="preserve">Respondenti současně hodnotí podporu státu jako velké zklamání – pouhých 17 % ji vnímá jako dostačující. Ani zavedení přechodně zvýšené nemocenské nevidí exportéři pozitivně. </w:t>
      </w:r>
      <w:r w:rsidRPr="005D2B76">
        <w:rPr>
          <w:rFonts w:ascii="Arial" w:hAnsi="Arial" w:cs="Arial"/>
          <w:bCs/>
        </w:rPr>
        <w:t xml:space="preserve">Většina z nich </w:t>
      </w:r>
      <w:r>
        <w:rPr>
          <w:rFonts w:ascii="Arial" w:hAnsi="Arial" w:cs="Arial"/>
          <w:bCs/>
        </w:rPr>
        <w:t>se domnívá</w:t>
      </w:r>
      <w:r w:rsidRPr="005D2B76">
        <w:rPr>
          <w:rFonts w:ascii="Arial" w:hAnsi="Arial" w:cs="Arial"/>
          <w:bCs/>
        </w:rPr>
        <w:t xml:space="preserve">, že </w:t>
      </w:r>
      <w:r>
        <w:rPr>
          <w:rFonts w:ascii="Arial" w:hAnsi="Arial" w:cs="Arial"/>
          <w:bCs/>
        </w:rPr>
        <w:t xml:space="preserve">zvýšení nemocenské nepovede k omezení šíření nákazy, naopak se kvůli až přílišné štědrosti obávají, že bude docházet </w:t>
      </w:r>
      <w:r w:rsidRPr="00C1326D">
        <w:rPr>
          <w:rFonts w:ascii="Arial" w:hAnsi="Arial" w:cs="Arial"/>
          <w:bCs/>
        </w:rPr>
        <w:t>k jejímu zneuž</w:t>
      </w:r>
      <w:r w:rsidR="00FB6FBD">
        <w:rPr>
          <w:rFonts w:ascii="Arial" w:hAnsi="Arial" w:cs="Arial"/>
          <w:bCs/>
        </w:rPr>
        <w:t>ívání</w:t>
      </w:r>
      <w:r w:rsidRPr="00C1326D">
        <w:rPr>
          <w:rFonts w:ascii="Arial" w:hAnsi="Arial" w:cs="Arial"/>
          <w:bCs/>
        </w:rPr>
        <w:t>.</w:t>
      </w:r>
    </w:p>
    <w:p w14:paraId="2F609B84" w14:textId="77777777" w:rsidR="00B75F0C" w:rsidRDefault="00B75F0C" w:rsidP="00B75F0C">
      <w:pPr>
        <w:spacing w:after="0" w:line="240" w:lineRule="auto"/>
        <w:jc w:val="both"/>
        <w:rPr>
          <w:rFonts w:ascii="Arial" w:hAnsi="Arial" w:cs="Arial"/>
          <w:b/>
        </w:rPr>
      </w:pPr>
    </w:p>
    <w:tbl>
      <w:tblPr>
        <w:tblW w:w="8588" w:type="dxa"/>
        <w:tblCellMar>
          <w:left w:w="0" w:type="dxa"/>
          <w:right w:w="0" w:type="dxa"/>
        </w:tblCellMar>
        <w:tblLook w:val="04A0" w:firstRow="1" w:lastRow="0" w:firstColumn="1" w:lastColumn="0" w:noHBand="0" w:noVBand="1"/>
      </w:tblPr>
      <w:tblGrid>
        <w:gridCol w:w="3597"/>
        <w:gridCol w:w="4991"/>
      </w:tblGrid>
      <w:tr w:rsidR="00B75F0C" w14:paraId="4F49ED4B" w14:textId="77777777" w:rsidTr="004015FF">
        <w:trPr>
          <w:trHeight w:val="403"/>
        </w:trPr>
        <w:tc>
          <w:tcPr>
            <w:tcW w:w="3597" w:type="dxa"/>
            <w:tcBorders>
              <w:top w:val="single" w:sz="4" w:space="0" w:color="auto"/>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14:paraId="283AF225" w14:textId="77777777" w:rsidR="00B75F0C" w:rsidRDefault="00B75F0C" w:rsidP="00F73DF2">
            <w:pPr>
              <w:jc w:val="center"/>
              <w:rPr>
                <w:b/>
                <w:bCs/>
                <w:color w:val="000000"/>
              </w:rPr>
            </w:pPr>
            <w:r>
              <w:rPr>
                <w:b/>
                <w:bCs/>
                <w:color w:val="000000"/>
              </w:rPr>
              <w:t xml:space="preserve">INDEX EXPORTU </w:t>
            </w:r>
            <w:r>
              <w:rPr>
                <w:b/>
                <w:bCs/>
                <w:color w:val="000000"/>
              </w:rPr>
              <w:br/>
              <w:t>2021/Q1</w:t>
            </w:r>
          </w:p>
        </w:tc>
        <w:tc>
          <w:tcPr>
            <w:tcW w:w="4991"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682B16" w14:textId="77777777" w:rsidR="00B75F0C" w:rsidRDefault="00B75F0C" w:rsidP="00F73DF2">
            <w:pPr>
              <w:jc w:val="center"/>
              <w:rPr>
                <w:color w:val="000000"/>
              </w:rPr>
            </w:pPr>
            <w:r>
              <w:rPr>
                <w:color w:val="000000"/>
              </w:rPr>
              <w:t>Dostatečnost logistické, informační a finanční podpory státu k povinnému testování</w:t>
            </w:r>
          </w:p>
        </w:tc>
      </w:tr>
      <w:tr w:rsidR="00B75F0C" w14:paraId="1F331326" w14:textId="77777777" w:rsidTr="00F73DF2">
        <w:trPr>
          <w:trHeight w:val="100"/>
        </w:trPr>
        <w:tc>
          <w:tcPr>
            <w:tcW w:w="35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12B4A" w14:textId="77777777" w:rsidR="00B75F0C" w:rsidRDefault="00B75F0C" w:rsidP="00F73DF2">
            <w:pPr>
              <w:rPr>
                <w:color w:val="000000"/>
              </w:rPr>
            </w:pPr>
            <w:r>
              <w:rPr>
                <w:color w:val="000000"/>
              </w:rPr>
              <w:t>Ano</w:t>
            </w:r>
          </w:p>
        </w:tc>
        <w:tc>
          <w:tcPr>
            <w:tcW w:w="4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695F1" w14:textId="2934B172" w:rsidR="00B75F0C" w:rsidRDefault="00B75F0C" w:rsidP="00F73DF2">
            <w:pPr>
              <w:jc w:val="center"/>
              <w:rPr>
                <w:color w:val="000000"/>
              </w:rPr>
            </w:pPr>
            <w:r>
              <w:rPr>
                <w:color w:val="000000"/>
              </w:rPr>
              <w:t>17</w:t>
            </w:r>
            <w:r w:rsidR="00FB6FBD">
              <w:rPr>
                <w:color w:val="000000"/>
              </w:rPr>
              <w:t xml:space="preserve"> </w:t>
            </w:r>
            <w:r>
              <w:rPr>
                <w:color w:val="000000"/>
              </w:rPr>
              <w:t>%</w:t>
            </w:r>
          </w:p>
        </w:tc>
      </w:tr>
      <w:tr w:rsidR="00B75F0C" w14:paraId="40C8E75C" w14:textId="77777777" w:rsidTr="00F73DF2">
        <w:trPr>
          <w:trHeight w:val="100"/>
        </w:trPr>
        <w:tc>
          <w:tcPr>
            <w:tcW w:w="35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24F0F" w14:textId="77777777" w:rsidR="00B75F0C" w:rsidRDefault="00B75F0C" w:rsidP="00F73DF2">
            <w:pPr>
              <w:rPr>
                <w:color w:val="000000"/>
              </w:rPr>
            </w:pPr>
            <w:r>
              <w:rPr>
                <w:color w:val="000000"/>
              </w:rPr>
              <w:t>Ne</w:t>
            </w:r>
          </w:p>
        </w:tc>
        <w:tc>
          <w:tcPr>
            <w:tcW w:w="4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F930C" w14:textId="65881D02" w:rsidR="00B75F0C" w:rsidRDefault="00B75F0C" w:rsidP="00F73DF2">
            <w:pPr>
              <w:jc w:val="center"/>
              <w:rPr>
                <w:color w:val="000000"/>
              </w:rPr>
            </w:pPr>
            <w:r>
              <w:rPr>
                <w:color w:val="000000"/>
              </w:rPr>
              <w:t>83</w:t>
            </w:r>
            <w:r w:rsidR="00FB6FBD">
              <w:rPr>
                <w:color w:val="000000"/>
              </w:rPr>
              <w:t xml:space="preserve"> </w:t>
            </w:r>
            <w:r>
              <w:rPr>
                <w:color w:val="000000"/>
              </w:rPr>
              <w:t>%</w:t>
            </w:r>
          </w:p>
        </w:tc>
      </w:tr>
    </w:tbl>
    <w:p w14:paraId="76609081" w14:textId="77777777" w:rsidR="00B75F0C" w:rsidRDefault="00B75F0C" w:rsidP="00B75F0C">
      <w:pPr>
        <w:spacing w:after="0" w:line="240" w:lineRule="auto"/>
        <w:jc w:val="both"/>
        <w:rPr>
          <w:rFonts w:ascii="Arial" w:hAnsi="Arial" w:cs="Arial"/>
          <w:b/>
        </w:rPr>
      </w:pPr>
    </w:p>
    <w:p w14:paraId="7194AE21" w14:textId="77777777" w:rsidR="00B75F0C" w:rsidRDefault="00B75F0C" w:rsidP="00B75F0C">
      <w:pPr>
        <w:spacing w:after="0" w:line="240" w:lineRule="auto"/>
        <w:jc w:val="both"/>
        <w:rPr>
          <w:rFonts w:ascii="Arial" w:hAnsi="Arial" w:cs="Arial"/>
          <w:b/>
        </w:rPr>
      </w:pPr>
    </w:p>
    <w:p w14:paraId="6FE91F32" w14:textId="77777777" w:rsidR="00B75F0C" w:rsidRDefault="00B75F0C" w:rsidP="00B75F0C">
      <w:pPr>
        <w:spacing w:after="0" w:line="240" w:lineRule="auto"/>
        <w:jc w:val="both"/>
        <w:rPr>
          <w:rFonts w:ascii="Arial" w:hAnsi="Arial" w:cs="Arial"/>
          <w:b/>
        </w:rPr>
      </w:pPr>
    </w:p>
    <w:p w14:paraId="5D5EC111" w14:textId="77777777" w:rsidR="00B75F0C" w:rsidRDefault="00B75F0C" w:rsidP="00B75F0C">
      <w:pPr>
        <w:spacing w:after="0" w:line="240" w:lineRule="auto"/>
        <w:jc w:val="both"/>
        <w:rPr>
          <w:rFonts w:ascii="Arial" w:hAnsi="Arial" w:cs="Arial"/>
          <w:b/>
        </w:rPr>
      </w:pPr>
    </w:p>
    <w:p w14:paraId="1721856A" w14:textId="77777777" w:rsidR="00B75F0C" w:rsidRDefault="00B75F0C" w:rsidP="00B75F0C">
      <w:pPr>
        <w:spacing w:after="0" w:line="240" w:lineRule="auto"/>
        <w:jc w:val="both"/>
        <w:rPr>
          <w:rFonts w:ascii="Arial" w:hAnsi="Arial" w:cs="Arial"/>
          <w:b/>
        </w:rPr>
      </w:pPr>
    </w:p>
    <w:p w14:paraId="7C07FDFC" w14:textId="77777777" w:rsidR="00B75F0C" w:rsidRDefault="00B75F0C" w:rsidP="00B75F0C">
      <w:pPr>
        <w:spacing w:after="0" w:line="240" w:lineRule="auto"/>
        <w:jc w:val="both"/>
        <w:rPr>
          <w:rFonts w:ascii="Arial" w:hAnsi="Arial" w:cs="Arial"/>
          <w:b/>
        </w:rPr>
      </w:pPr>
    </w:p>
    <w:p w14:paraId="59A79B84" w14:textId="77777777" w:rsidR="00B75F0C" w:rsidRDefault="00B75F0C" w:rsidP="00B75F0C">
      <w:pPr>
        <w:spacing w:after="0" w:line="240" w:lineRule="auto"/>
        <w:jc w:val="both"/>
        <w:rPr>
          <w:rFonts w:ascii="Arial" w:hAnsi="Arial" w:cs="Arial"/>
          <w:b/>
        </w:rPr>
      </w:pPr>
    </w:p>
    <w:p w14:paraId="0E05F13F" w14:textId="77777777" w:rsidR="00B75F0C" w:rsidRDefault="00B75F0C" w:rsidP="00B75F0C">
      <w:pPr>
        <w:spacing w:after="0" w:line="240" w:lineRule="auto"/>
        <w:jc w:val="both"/>
        <w:rPr>
          <w:rFonts w:ascii="Arial" w:hAnsi="Arial" w:cs="Arial"/>
          <w:b/>
        </w:rPr>
      </w:pPr>
    </w:p>
    <w:tbl>
      <w:tblPr>
        <w:tblW w:w="8589" w:type="dxa"/>
        <w:tblCellMar>
          <w:left w:w="0" w:type="dxa"/>
          <w:right w:w="0" w:type="dxa"/>
        </w:tblCellMar>
        <w:tblLook w:val="04A0" w:firstRow="1" w:lastRow="0" w:firstColumn="1" w:lastColumn="0" w:noHBand="0" w:noVBand="1"/>
      </w:tblPr>
      <w:tblGrid>
        <w:gridCol w:w="3760"/>
        <w:gridCol w:w="1609"/>
        <w:gridCol w:w="1609"/>
        <w:gridCol w:w="1611"/>
      </w:tblGrid>
      <w:tr w:rsidR="00B75F0C" w14:paraId="4F8468C8" w14:textId="77777777" w:rsidTr="004015FF">
        <w:trPr>
          <w:trHeight w:val="526"/>
        </w:trPr>
        <w:tc>
          <w:tcPr>
            <w:tcW w:w="3760" w:type="dxa"/>
            <w:vMerge w:val="restart"/>
            <w:tcBorders>
              <w:top w:val="single" w:sz="4" w:space="0" w:color="auto"/>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14:paraId="1504ACA5" w14:textId="77777777" w:rsidR="00B75F0C" w:rsidRDefault="00B75F0C" w:rsidP="00F73DF2">
            <w:pPr>
              <w:jc w:val="center"/>
              <w:rPr>
                <w:b/>
                <w:bCs/>
                <w:color w:val="000000"/>
              </w:rPr>
            </w:pPr>
            <w:r>
              <w:rPr>
                <w:b/>
                <w:bCs/>
                <w:color w:val="000000"/>
              </w:rPr>
              <w:lastRenderedPageBreak/>
              <w:t xml:space="preserve">INDEX EXPORTU </w:t>
            </w:r>
            <w:r>
              <w:rPr>
                <w:b/>
                <w:bCs/>
                <w:color w:val="000000"/>
              </w:rPr>
              <w:br/>
              <w:t>2021/Q1</w:t>
            </w:r>
          </w:p>
        </w:tc>
        <w:tc>
          <w:tcPr>
            <w:tcW w:w="4829" w:type="dxa"/>
            <w:gridSpan w:val="3"/>
            <w:tcBorders>
              <w:top w:val="single" w:sz="4" w:space="0" w:color="auto"/>
              <w:left w:val="nil"/>
              <w:bottom w:val="single" w:sz="4" w:space="0" w:color="auto"/>
              <w:right w:val="single" w:sz="4" w:space="0" w:color="000000"/>
            </w:tcBorders>
            <w:shd w:val="clear" w:color="auto" w:fill="D9D9D9" w:themeFill="background1" w:themeFillShade="D9"/>
            <w:tcMar>
              <w:top w:w="15" w:type="dxa"/>
              <w:left w:w="15" w:type="dxa"/>
              <w:bottom w:w="0" w:type="dxa"/>
              <w:right w:w="15" w:type="dxa"/>
            </w:tcMar>
            <w:vAlign w:val="center"/>
            <w:hideMark/>
          </w:tcPr>
          <w:p w14:paraId="6F5FF69A" w14:textId="77777777" w:rsidR="00B75F0C" w:rsidRDefault="00B75F0C" w:rsidP="00F73DF2">
            <w:pPr>
              <w:jc w:val="center"/>
              <w:rPr>
                <w:color w:val="000000"/>
              </w:rPr>
            </w:pPr>
            <w:r>
              <w:rPr>
                <w:color w:val="000000"/>
              </w:rPr>
              <w:t>Zavedení přechodně zvýšené nemocenské</w:t>
            </w:r>
          </w:p>
        </w:tc>
      </w:tr>
      <w:tr w:rsidR="00B75F0C" w14:paraId="2DF48D9E" w14:textId="77777777" w:rsidTr="00A9019F">
        <w:trPr>
          <w:trHeight w:val="526"/>
        </w:trPr>
        <w:tc>
          <w:tcPr>
            <w:tcW w:w="0" w:type="auto"/>
            <w:vMerge/>
            <w:tcBorders>
              <w:top w:val="single" w:sz="4" w:space="0" w:color="000000"/>
              <w:left w:val="single" w:sz="4" w:space="0" w:color="auto"/>
              <w:bottom w:val="single" w:sz="4" w:space="0" w:color="auto"/>
              <w:right w:val="single" w:sz="4" w:space="0" w:color="auto"/>
            </w:tcBorders>
            <w:vAlign w:val="center"/>
            <w:hideMark/>
          </w:tcPr>
          <w:p w14:paraId="25B49DCB" w14:textId="77777777" w:rsidR="00B75F0C" w:rsidRDefault="00B75F0C" w:rsidP="00F73DF2">
            <w:pPr>
              <w:rPr>
                <w:b/>
                <w:bCs/>
                <w:color w:val="000000"/>
              </w:rPr>
            </w:pPr>
          </w:p>
        </w:tc>
        <w:tc>
          <w:tcPr>
            <w:tcW w:w="1609" w:type="dxa"/>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16461F" w14:textId="77777777" w:rsidR="00B75F0C" w:rsidRDefault="00B75F0C" w:rsidP="00F73DF2">
            <w:pPr>
              <w:jc w:val="center"/>
              <w:rPr>
                <w:color w:val="000000"/>
              </w:rPr>
            </w:pPr>
            <w:r>
              <w:rPr>
                <w:color w:val="000000"/>
              </w:rPr>
              <w:t>pomůže omezit šíření nákazy</w:t>
            </w:r>
          </w:p>
        </w:tc>
        <w:tc>
          <w:tcPr>
            <w:tcW w:w="1609" w:type="dxa"/>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8CD0C6" w14:textId="77777777" w:rsidR="00B75F0C" w:rsidRDefault="00B75F0C" w:rsidP="00F73DF2">
            <w:pPr>
              <w:jc w:val="center"/>
              <w:rPr>
                <w:color w:val="000000"/>
              </w:rPr>
            </w:pPr>
            <w:r>
              <w:rPr>
                <w:color w:val="000000"/>
              </w:rPr>
              <w:t>bude masivně zneužíváno</w:t>
            </w:r>
          </w:p>
        </w:tc>
        <w:tc>
          <w:tcPr>
            <w:tcW w:w="1610" w:type="dxa"/>
            <w:tcBorders>
              <w:top w:val="nil"/>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324102" w14:textId="630746D1" w:rsidR="00B75F0C" w:rsidRDefault="00B75F0C" w:rsidP="00F73DF2">
            <w:pPr>
              <w:jc w:val="center"/>
              <w:rPr>
                <w:color w:val="000000"/>
              </w:rPr>
            </w:pPr>
            <w:r>
              <w:rPr>
                <w:color w:val="000000"/>
              </w:rPr>
              <w:t>je nastaven</w:t>
            </w:r>
            <w:r w:rsidR="00FB6FBD">
              <w:rPr>
                <w:color w:val="000000"/>
              </w:rPr>
              <w:t>o</w:t>
            </w:r>
            <w:r>
              <w:rPr>
                <w:color w:val="000000"/>
              </w:rPr>
              <w:t xml:space="preserve"> příliš štědře</w:t>
            </w:r>
          </w:p>
        </w:tc>
      </w:tr>
      <w:tr w:rsidR="00B75F0C" w14:paraId="4685519B" w14:textId="77777777" w:rsidTr="00F73DF2">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9C077" w14:textId="77777777" w:rsidR="00B75F0C" w:rsidRDefault="00B75F0C" w:rsidP="00F73DF2">
            <w:pPr>
              <w:rPr>
                <w:color w:val="000000"/>
              </w:rPr>
            </w:pPr>
            <w:r>
              <w:rPr>
                <w:color w:val="000000"/>
              </w:rPr>
              <w:t>určitě ano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95572" w14:textId="441F7A1F" w:rsidR="00B75F0C" w:rsidRDefault="00B75F0C" w:rsidP="00F73DF2">
            <w:pPr>
              <w:jc w:val="center"/>
              <w:rPr>
                <w:color w:val="000000"/>
              </w:rPr>
            </w:pPr>
            <w:r>
              <w:rPr>
                <w:color w:val="000000"/>
              </w:rPr>
              <w:t>0</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FC371" w14:textId="3FCFB990" w:rsidR="00B75F0C" w:rsidRDefault="00B75F0C" w:rsidP="00F73DF2">
            <w:pPr>
              <w:jc w:val="center"/>
              <w:rPr>
                <w:color w:val="000000"/>
              </w:rPr>
            </w:pPr>
            <w:r>
              <w:rPr>
                <w:color w:val="000000"/>
              </w:rPr>
              <w:t>12</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99566" w14:textId="19075373" w:rsidR="00B75F0C" w:rsidRDefault="00B75F0C" w:rsidP="00F73DF2">
            <w:pPr>
              <w:jc w:val="center"/>
              <w:rPr>
                <w:color w:val="000000"/>
              </w:rPr>
            </w:pPr>
            <w:r>
              <w:rPr>
                <w:color w:val="000000"/>
              </w:rPr>
              <w:t>36</w:t>
            </w:r>
            <w:r w:rsidR="00FB6FBD">
              <w:rPr>
                <w:color w:val="000000"/>
              </w:rPr>
              <w:t xml:space="preserve"> </w:t>
            </w:r>
            <w:r>
              <w:rPr>
                <w:color w:val="000000"/>
              </w:rPr>
              <w:t>%</w:t>
            </w:r>
          </w:p>
        </w:tc>
      </w:tr>
      <w:tr w:rsidR="00B75F0C" w14:paraId="1057CFE4" w14:textId="77777777" w:rsidTr="00F73DF2">
        <w:trPr>
          <w:trHeight w:val="26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88233" w14:textId="77777777" w:rsidR="00B75F0C" w:rsidRDefault="00B75F0C" w:rsidP="00F73DF2">
            <w:pPr>
              <w:rPr>
                <w:color w:val="000000"/>
              </w:rPr>
            </w:pPr>
            <w:r>
              <w:rPr>
                <w:color w:val="000000"/>
              </w:rPr>
              <w:t>spíše ano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79EAB" w14:textId="069CCB1C" w:rsidR="00B75F0C" w:rsidRDefault="00B75F0C" w:rsidP="00F73DF2">
            <w:pPr>
              <w:jc w:val="center"/>
              <w:rPr>
                <w:color w:val="000000"/>
              </w:rPr>
            </w:pPr>
            <w:r>
              <w:rPr>
                <w:color w:val="000000"/>
              </w:rPr>
              <w:t>21</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ECC2D" w14:textId="1F0E9E6F" w:rsidR="00B75F0C" w:rsidRDefault="00B75F0C" w:rsidP="00F73DF2">
            <w:pPr>
              <w:jc w:val="center"/>
              <w:rPr>
                <w:color w:val="000000"/>
              </w:rPr>
            </w:pPr>
            <w:r>
              <w:rPr>
                <w:color w:val="000000"/>
              </w:rPr>
              <w:t>60</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BD42E" w14:textId="44F8D4C5" w:rsidR="00B75F0C" w:rsidRDefault="00B75F0C" w:rsidP="00F73DF2">
            <w:pPr>
              <w:jc w:val="center"/>
              <w:rPr>
                <w:color w:val="000000"/>
              </w:rPr>
            </w:pPr>
            <w:r>
              <w:rPr>
                <w:color w:val="000000"/>
              </w:rPr>
              <w:t>50</w:t>
            </w:r>
            <w:r w:rsidR="00FB6FBD">
              <w:rPr>
                <w:color w:val="000000"/>
              </w:rPr>
              <w:t xml:space="preserve"> </w:t>
            </w:r>
            <w:r>
              <w:rPr>
                <w:color w:val="000000"/>
              </w:rPr>
              <w:t>%</w:t>
            </w:r>
          </w:p>
        </w:tc>
      </w:tr>
      <w:tr w:rsidR="00B75F0C" w14:paraId="580BFA41" w14:textId="77777777" w:rsidTr="00F73DF2">
        <w:trPr>
          <w:trHeight w:val="26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F15F4" w14:textId="77777777" w:rsidR="00B75F0C" w:rsidRDefault="00B75F0C" w:rsidP="00F73DF2">
            <w:pPr>
              <w:rPr>
                <w:color w:val="000000"/>
              </w:rPr>
            </w:pPr>
            <w:r>
              <w:rPr>
                <w:color w:val="000000"/>
              </w:rPr>
              <w:t>spíše ne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9E6FE" w14:textId="4828AE77" w:rsidR="00B75F0C" w:rsidRDefault="00B75F0C" w:rsidP="00F73DF2">
            <w:pPr>
              <w:jc w:val="center"/>
              <w:rPr>
                <w:color w:val="000000"/>
              </w:rPr>
            </w:pPr>
            <w:r>
              <w:rPr>
                <w:color w:val="000000"/>
              </w:rPr>
              <w:t>57</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F5E56" w14:textId="0EE0C8FE" w:rsidR="00B75F0C" w:rsidRDefault="00B75F0C" w:rsidP="00F73DF2">
            <w:pPr>
              <w:jc w:val="center"/>
              <w:rPr>
                <w:color w:val="000000"/>
              </w:rPr>
            </w:pPr>
            <w:r>
              <w:rPr>
                <w:color w:val="000000"/>
              </w:rPr>
              <w:t>29</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2EEB2" w14:textId="429ABAB0" w:rsidR="00B75F0C" w:rsidRDefault="00B75F0C" w:rsidP="00F73DF2">
            <w:pPr>
              <w:jc w:val="center"/>
              <w:rPr>
                <w:color w:val="000000"/>
              </w:rPr>
            </w:pPr>
            <w:r>
              <w:rPr>
                <w:color w:val="000000"/>
              </w:rPr>
              <w:t>12</w:t>
            </w:r>
            <w:r w:rsidR="00FB6FBD">
              <w:rPr>
                <w:color w:val="000000"/>
              </w:rPr>
              <w:t xml:space="preserve"> </w:t>
            </w:r>
            <w:r>
              <w:rPr>
                <w:color w:val="000000"/>
              </w:rPr>
              <w:t>%</w:t>
            </w:r>
          </w:p>
        </w:tc>
      </w:tr>
      <w:tr w:rsidR="00B75F0C" w14:paraId="12959D3E" w14:textId="77777777" w:rsidTr="00F73DF2">
        <w:trPr>
          <w:trHeight w:val="26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C766A" w14:textId="77777777" w:rsidR="00B75F0C" w:rsidRDefault="00B75F0C" w:rsidP="00F73DF2">
            <w:pPr>
              <w:rPr>
                <w:color w:val="000000"/>
              </w:rPr>
            </w:pPr>
            <w:r>
              <w:rPr>
                <w:color w:val="000000"/>
              </w:rPr>
              <w:t>určitě ne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7A270" w14:textId="5BB9D509" w:rsidR="00B75F0C" w:rsidRDefault="00B75F0C" w:rsidP="00F73DF2">
            <w:pPr>
              <w:jc w:val="center"/>
              <w:rPr>
                <w:color w:val="000000"/>
              </w:rPr>
            </w:pPr>
            <w:r>
              <w:rPr>
                <w:color w:val="000000"/>
              </w:rPr>
              <w:t>21</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F8C0A" w14:textId="608B6262" w:rsidR="00B75F0C" w:rsidRDefault="00B75F0C" w:rsidP="00F73DF2">
            <w:pPr>
              <w:jc w:val="center"/>
              <w:rPr>
                <w:color w:val="000000"/>
              </w:rPr>
            </w:pPr>
            <w:r>
              <w:rPr>
                <w:color w:val="000000"/>
              </w:rPr>
              <w:t>0</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C1DF1" w14:textId="44210A73" w:rsidR="00B75F0C" w:rsidRDefault="00B75F0C" w:rsidP="00F73DF2">
            <w:pPr>
              <w:jc w:val="center"/>
              <w:rPr>
                <w:color w:val="000000"/>
              </w:rPr>
            </w:pPr>
            <w:r>
              <w:rPr>
                <w:color w:val="000000"/>
              </w:rPr>
              <w:t>2</w:t>
            </w:r>
            <w:r w:rsidR="00FB6FBD">
              <w:rPr>
                <w:color w:val="000000"/>
              </w:rPr>
              <w:t xml:space="preserve"> </w:t>
            </w:r>
            <w:r>
              <w:rPr>
                <w:color w:val="000000"/>
              </w:rPr>
              <w:t>%</w:t>
            </w:r>
          </w:p>
        </w:tc>
      </w:tr>
      <w:tr w:rsidR="00B75F0C" w14:paraId="65CFE08F" w14:textId="77777777" w:rsidTr="00F73DF2">
        <w:trPr>
          <w:trHeight w:val="26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DFC36" w14:textId="77777777" w:rsidR="00B75F0C" w:rsidRDefault="00B75F0C" w:rsidP="00F73DF2">
            <w:pPr>
              <w:jc w:val="cente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16F4B" w14:textId="77777777" w:rsidR="00B75F0C" w:rsidRDefault="00B75F0C" w:rsidP="00F73DF2">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77B9E" w14:textId="77777777" w:rsidR="00B75F0C" w:rsidRDefault="00B75F0C" w:rsidP="00F73DF2">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E4168" w14:textId="77777777" w:rsidR="00B75F0C" w:rsidRDefault="00B75F0C" w:rsidP="00F73DF2">
            <w:pPr>
              <w:rPr>
                <w:sz w:val="20"/>
                <w:szCs w:val="20"/>
              </w:rPr>
            </w:pPr>
          </w:p>
        </w:tc>
      </w:tr>
      <w:tr w:rsidR="00B75F0C" w14:paraId="7EB3251B" w14:textId="77777777" w:rsidTr="00F73DF2">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6CD79" w14:textId="77777777" w:rsidR="00B75F0C" w:rsidRDefault="00B75F0C" w:rsidP="00F73DF2">
            <w:pPr>
              <w:rPr>
                <w:color w:val="000000"/>
              </w:rPr>
            </w:pPr>
            <w:r>
              <w:rPr>
                <w:color w:val="000000"/>
              </w:rPr>
              <w:t>Ano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5A102" w14:textId="032E90E4" w:rsidR="00B75F0C" w:rsidRDefault="00B75F0C" w:rsidP="00F73DF2">
            <w:pPr>
              <w:jc w:val="center"/>
              <w:rPr>
                <w:color w:val="000000"/>
              </w:rPr>
            </w:pPr>
            <w:r>
              <w:rPr>
                <w:color w:val="000000"/>
              </w:rPr>
              <w:t>21</w:t>
            </w:r>
            <w:r w:rsidR="00FB6FBD">
              <w:rPr>
                <w:color w:val="000000"/>
              </w:rPr>
              <w:t xml:space="preserve"> </w:t>
            </w:r>
            <w:r>
              <w:rPr>
                <w:color w:val="00000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E7B8E" w14:textId="5E4A2696" w:rsidR="00B75F0C" w:rsidRDefault="00B75F0C" w:rsidP="00F73DF2">
            <w:pPr>
              <w:jc w:val="center"/>
              <w:rPr>
                <w:color w:val="000000"/>
              </w:rPr>
            </w:pPr>
            <w:r>
              <w:rPr>
                <w:color w:val="000000"/>
              </w:rPr>
              <w:t>71</w:t>
            </w:r>
            <w:r w:rsidR="00FB6FBD">
              <w:rPr>
                <w:color w:val="000000"/>
              </w:rPr>
              <w:t xml:space="preserve"> </w:t>
            </w:r>
            <w:r>
              <w:rPr>
                <w:color w:val="00000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6C869" w14:textId="25F85D53" w:rsidR="00B75F0C" w:rsidRDefault="00B75F0C" w:rsidP="00F73DF2">
            <w:pPr>
              <w:jc w:val="center"/>
              <w:rPr>
                <w:color w:val="000000"/>
              </w:rPr>
            </w:pPr>
            <w:r>
              <w:rPr>
                <w:color w:val="000000"/>
              </w:rPr>
              <w:t>86</w:t>
            </w:r>
            <w:r w:rsidR="00FB6FBD">
              <w:rPr>
                <w:color w:val="000000"/>
              </w:rPr>
              <w:t xml:space="preserve"> </w:t>
            </w:r>
            <w:r>
              <w:rPr>
                <w:color w:val="000000"/>
              </w:rPr>
              <w:t>%</w:t>
            </w:r>
          </w:p>
        </w:tc>
      </w:tr>
      <w:tr w:rsidR="00B75F0C" w14:paraId="0A1342D9" w14:textId="77777777" w:rsidTr="00F73DF2">
        <w:trPr>
          <w:trHeight w:val="26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36928" w14:textId="77777777" w:rsidR="00B75F0C" w:rsidRDefault="00B75F0C" w:rsidP="00F73DF2">
            <w:pPr>
              <w:rPr>
                <w:color w:val="000000"/>
              </w:rPr>
            </w:pPr>
            <w:r>
              <w:rPr>
                <w:color w:val="000000"/>
              </w:rPr>
              <w:t>Ne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5F02F" w14:textId="2C792D68" w:rsidR="00B75F0C" w:rsidRDefault="00B75F0C" w:rsidP="00F73DF2">
            <w:pPr>
              <w:jc w:val="center"/>
              <w:rPr>
                <w:color w:val="000000"/>
              </w:rPr>
            </w:pPr>
            <w:r>
              <w:rPr>
                <w:color w:val="000000"/>
              </w:rPr>
              <w:t>79</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C0DF1" w14:textId="5DB7324A" w:rsidR="00B75F0C" w:rsidRDefault="00B75F0C" w:rsidP="00F73DF2">
            <w:pPr>
              <w:jc w:val="center"/>
              <w:rPr>
                <w:color w:val="000000"/>
              </w:rPr>
            </w:pPr>
            <w:r>
              <w:rPr>
                <w:color w:val="000000"/>
              </w:rPr>
              <w:t>29</w:t>
            </w:r>
            <w:r w:rsidR="00FB6FBD">
              <w:rPr>
                <w:color w:val="000000"/>
              </w:rPr>
              <w:t xml:space="preserve"> </w:t>
            </w:r>
            <w:r>
              <w:rPr>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FD2B5" w14:textId="58112D01" w:rsidR="00B75F0C" w:rsidRDefault="00B75F0C" w:rsidP="00F73DF2">
            <w:pPr>
              <w:jc w:val="center"/>
              <w:rPr>
                <w:color w:val="000000"/>
              </w:rPr>
            </w:pPr>
            <w:r>
              <w:rPr>
                <w:color w:val="000000"/>
              </w:rPr>
              <w:t>14</w:t>
            </w:r>
            <w:r w:rsidR="00FB6FBD">
              <w:rPr>
                <w:color w:val="000000"/>
              </w:rPr>
              <w:t xml:space="preserve"> </w:t>
            </w:r>
            <w:r>
              <w:rPr>
                <w:color w:val="000000"/>
              </w:rPr>
              <w:t>%</w:t>
            </w:r>
          </w:p>
        </w:tc>
      </w:tr>
    </w:tbl>
    <w:p w14:paraId="1FF83130" w14:textId="77777777" w:rsidR="00B75F0C" w:rsidRDefault="00B75F0C" w:rsidP="00B75F0C">
      <w:pPr>
        <w:spacing w:after="0" w:line="240" w:lineRule="auto"/>
        <w:rPr>
          <w:rFonts w:ascii="Arial" w:hAnsi="Arial" w:cs="Arial"/>
          <w:i/>
          <w:sz w:val="18"/>
          <w:szCs w:val="18"/>
        </w:rPr>
      </w:pPr>
      <w:r w:rsidRPr="000052C9">
        <w:rPr>
          <w:rFonts w:ascii="Arial" w:hAnsi="Arial" w:cs="Arial"/>
          <w:i/>
          <w:sz w:val="18"/>
          <w:szCs w:val="18"/>
        </w:rPr>
        <w:t xml:space="preserve">Zdroj: Šetření mezi exportéry </w:t>
      </w:r>
      <w:r w:rsidRPr="00FB6FBD">
        <w:rPr>
          <w:rFonts w:ascii="Arial" w:hAnsi="Arial" w:cs="Arial"/>
          <w:i/>
          <w:sz w:val="18"/>
          <w:szCs w:val="18"/>
        </w:rPr>
        <w:t>v termínu 17. – 28. 3. 2021. Raiffeisenbank</w:t>
      </w:r>
      <w:r w:rsidRPr="000052C9">
        <w:rPr>
          <w:rFonts w:ascii="Arial" w:hAnsi="Arial" w:cs="Arial"/>
          <w:i/>
          <w:sz w:val="18"/>
          <w:szCs w:val="18"/>
        </w:rPr>
        <w:t xml:space="preserve"> a.s. a Asociace exportérů.</w:t>
      </w:r>
      <w:r w:rsidRPr="006106C8">
        <w:rPr>
          <w:rFonts w:ascii="Arial" w:hAnsi="Arial" w:cs="Arial"/>
          <w:i/>
          <w:sz w:val="18"/>
          <w:szCs w:val="18"/>
        </w:rPr>
        <w:t xml:space="preserve"> </w:t>
      </w:r>
    </w:p>
    <w:p w14:paraId="0F83B450" w14:textId="77777777" w:rsidR="00B75F0C" w:rsidRDefault="00B75F0C" w:rsidP="00B75F0C">
      <w:pPr>
        <w:ind w:left="-567"/>
        <w:jc w:val="both"/>
        <w:rPr>
          <w:rFonts w:ascii="Arial" w:hAnsi="Arial" w:cs="Arial"/>
          <w:b/>
          <w:i/>
          <w:sz w:val="16"/>
          <w:szCs w:val="18"/>
        </w:rPr>
      </w:pPr>
    </w:p>
    <w:p w14:paraId="41142E2E" w14:textId="77777777" w:rsidR="00A81344" w:rsidRDefault="00A81344" w:rsidP="00A81344">
      <w:pPr>
        <w:pBdr>
          <w:top w:val="nil"/>
          <w:left w:val="nil"/>
          <w:bottom w:val="nil"/>
          <w:right w:val="nil"/>
          <w:between w:val="nil"/>
        </w:pBdr>
        <w:tabs>
          <w:tab w:val="left" w:pos="0"/>
        </w:tabs>
        <w:spacing w:after="0" w:line="240" w:lineRule="auto"/>
        <w:ind w:left="-567"/>
        <w:rPr>
          <w:rFonts w:ascii="Arial" w:eastAsia="Arial" w:hAnsi="Arial" w:cs="Arial"/>
          <w:i/>
          <w:color w:val="000000"/>
          <w:sz w:val="18"/>
          <w:szCs w:val="18"/>
        </w:rPr>
      </w:pPr>
    </w:p>
    <w:p w14:paraId="3E3C8290" w14:textId="77777777" w:rsidR="00A81344" w:rsidRDefault="00A81344" w:rsidP="00A81344">
      <w:pPr>
        <w:ind w:left="-567"/>
        <w:jc w:val="both"/>
        <w:rPr>
          <w:rFonts w:ascii="Arial" w:eastAsia="Arial" w:hAnsi="Arial" w:cs="Arial"/>
          <w:b/>
          <w:i/>
          <w:sz w:val="16"/>
          <w:szCs w:val="16"/>
        </w:rPr>
      </w:pPr>
      <w:r>
        <w:rPr>
          <w:rFonts w:ascii="Arial" w:eastAsia="Arial" w:hAnsi="Arial" w:cs="Arial"/>
          <w:b/>
          <w:i/>
          <w:sz w:val="16"/>
          <w:szCs w:val="16"/>
        </w:rPr>
        <w:t>O Indexu Exportu</w:t>
      </w:r>
    </w:p>
    <w:p w14:paraId="32699EB6" w14:textId="77777777" w:rsidR="00A81344" w:rsidRDefault="00A81344" w:rsidP="00A81344">
      <w:pPr>
        <w:spacing w:line="240" w:lineRule="auto"/>
        <w:ind w:left="-567"/>
        <w:jc w:val="both"/>
        <w:rPr>
          <w:rFonts w:ascii="Arial" w:eastAsia="Arial" w:hAnsi="Arial" w:cs="Arial"/>
          <w:i/>
          <w:sz w:val="16"/>
          <w:szCs w:val="16"/>
        </w:rPr>
      </w:pPr>
      <w:r>
        <w:rPr>
          <w:rFonts w:ascii="Arial" w:eastAsia="Arial" w:hAnsi="Arial" w:cs="Arial"/>
          <w:i/>
          <w:sz w:val="16"/>
          <w:szCs w:val="16"/>
        </w:rPr>
        <w:t xml:space="preserve">Index Exportu je unikátní nástroj umožňující predikci vývoje výkonnosti českého exportu v několikaměsíčním předstihu </w:t>
      </w:r>
      <w:r>
        <w:rPr>
          <w:rFonts w:ascii="Arial" w:eastAsia="Arial" w:hAnsi="Arial" w:cs="Arial"/>
          <w:i/>
          <w:sz w:val="16"/>
          <w:szCs w:val="16"/>
        </w:rPr>
        <w:br/>
        <w:t xml:space="preserve">na základě řady statistických dat a vybraných předstihových indikátorů. Jeho aktuální podoba vznikla jako výsledek prohloubení spolupráce mezi Raiffeisenbank a Asociací exportérů. Do indexu jsou zahrnuty následující parametry: index nákupních manažerů Eurozóny PMI, reálný efektivní kurz koruny vůči euru očištěný o inflaci v průmyslu, německé průmyslové zakázky </w:t>
      </w:r>
      <w:r>
        <w:rPr>
          <w:rFonts w:ascii="Arial" w:eastAsia="Arial" w:hAnsi="Arial" w:cs="Arial"/>
          <w:i/>
          <w:sz w:val="16"/>
          <w:szCs w:val="16"/>
        </w:rPr>
        <w:br/>
        <w:t xml:space="preserve">a české zakázky ze zahraničí. V rámci sestavování Indexu jsou rovněž jednou za čtvrtletí dotazováni čeští exportéři na jejich očekávání ohledně budoucího vývoje exportu. </w:t>
      </w:r>
    </w:p>
    <w:p w14:paraId="18FA8223" w14:textId="77777777" w:rsidR="00A81344" w:rsidRDefault="00A81344" w:rsidP="00A81344">
      <w:pPr>
        <w:spacing w:after="0" w:line="240" w:lineRule="auto"/>
        <w:ind w:left="-567"/>
        <w:jc w:val="both"/>
        <w:rPr>
          <w:rFonts w:ascii="Arial" w:eastAsia="Arial" w:hAnsi="Arial" w:cs="Arial"/>
          <w:i/>
          <w:sz w:val="18"/>
          <w:szCs w:val="18"/>
        </w:rPr>
      </w:pPr>
      <w:r>
        <w:rPr>
          <w:rFonts w:ascii="Arial" w:eastAsia="Arial" w:hAnsi="Arial" w:cs="Arial"/>
          <w:b/>
          <w:i/>
          <w:sz w:val="16"/>
          <w:szCs w:val="16"/>
        </w:rPr>
        <w:t>Základní informace o Asociaci exportérů</w:t>
      </w:r>
    </w:p>
    <w:p w14:paraId="1BC86B61" w14:textId="77777777" w:rsidR="00A81344" w:rsidRDefault="00A81344" w:rsidP="00A81344">
      <w:pPr>
        <w:spacing w:after="0" w:line="240" w:lineRule="auto"/>
        <w:ind w:left="-567"/>
        <w:jc w:val="both"/>
        <w:rPr>
          <w:rFonts w:ascii="Arial" w:eastAsia="Arial" w:hAnsi="Arial" w:cs="Arial"/>
          <w:i/>
          <w:sz w:val="18"/>
          <w:szCs w:val="18"/>
        </w:rPr>
      </w:pPr>
      <w:r>
        <w:rPr>
          <w:rFonts w:ascii="Arial" w:eastAsia="Arial" w:hAnsi="Arial" w:cs="Arial"/>
          <w:i/>
          <w:sz w:val="16"/>
          <w:szCs w:val="16"/>
        </w:rPr>
        <w:t>Asociace exportérů vznikla v roce 2002 s cílem zachovat a zvyšovat konkurenceschopnost tuzemských firem, zejména těch exportních. Zástupci Asociace sledují tendence a vývoj legislativy Evropské unie a upozorňují na možná rizika pro Českou republiku. Členové Asociace posilují komunikaci s vládou při přípravě proexportních opatření a upevňují i vztahy se zástupci České národní banky. Asociace spolupracuje rovněž se špičkovými analytiky na tvorbě ukazatelů, které vyjadřují vliv tuzemských exportních společností na ekonomiku České republiky.</w:t>
      </w:r>
    </w:p>
    <w:p w14:paraId="1BF3E5C9" w14:textId="77777777" w:rsidR="00A81344" w:rsidRDefault="00A81344" w:rsidP="00A81344">
      <w:pPr>
        <w:spacing w:after="0" w:line="240" w:lineRule="auto"/>
        <w:ind w:left="-567"/>
        <w:jc w:val="both"/>
        <w:rPr>
          <w:rFonts w:ascii="Arial" w:eastAsia="Arial" w:hAnsi="Arial" w:cs="Arial"/>
          <w:i/>
          <w:sz w:val="18"/>
          <w:szCs w:val="18"/>
        </w:rPr>
      </w:pPr>
    </w:p>
    <w:p w14:paraId="5A93EE2C" w14:textId="77777777" w:rsidR="00A81344" w:rsidRDefault="00A81344" w:rsidP="00A81344">
      <w:pPr>
        <w:spacing w:after="0" w:line="240" w:lineRule="auto"/>
        <w:ind w:left="-567"/>
        <w:jc w:val="both"/>
        <w:rPr>
          <w:rFonts w:ascii="Arial" w:eastAsia="Arial" w:hAnsi="Arial" w:cs="Arial"/>
          <w:i/>
          <w:sz w:val="18"/>
          <w:szCs w:val="18"/>
        </w:rPr>
      </w:pPr>
      <w:r w:rsidRPr="00D4093F">
        <w:rPr>
          <w:rFonts w:ascii="Arial" w:hAnsi="Arial" w:cs="Arial"/>
          <w:b/>
          <w:i/>
          <w:sz w:val="16"/>
          <w:szCs w:val="16"/>
        </w:rPr>
        <w:t>Základní informace o Raiffeisenbank a.s.</w:t>
      </w:r>
    </w:p>
    <w:p w14:paraId="0498BE6B" w14:textId="31A6799B" w:rsidR="00A81344" w:rsidRPr="00A81344" w:rsidRDefault="002D28DC" w:rsidP="00A81344">
      <w:pPr>
        <w:spacing w:after="0" w:line="240" w:lineRule="auto"/>
        <w:ind w:left="-567"/>
        <w:jc w:val="both"/>
        <w:rPr>
          <w:rFonts w:ascii="Arial" w:eastAsia="Arial" w:hAnsi="Arial" w:cs="Arial"/>
          <w:i/>
          <w:sz w:val="18"/>
          <w:szCs w:val="18"/>
        </w:rPr>
      </w:pPr>
      <w:hyperlink r:id="rId15" w:history="1">
        <w:r w:rsidR="00A81344" w:rsidRPr="00D4093F">
          <w:rPr>
            <w:rStyle w:val="Hypertextovodkaz"/>
            <w:rFonts w:ascii="Arial" w:hAnsi="Arial" w:cs="Arial"/>
            <w:i/>
            <w:iCs/>
            <w:sz w:val="16"/>
            <w:szCs w:val="16"/>
          </w:rPr>
          <w:t>Raiffeisenbank</w:t>
        </w:r>
      </w:hyperlink>
      <w:r w:rsidR="00A81344" w:rsidRPr="00D4093F">
        <w:rPr>
          <w:rFonts w:ascii="Arial" w:hAnsi="Arial" w:cs="Arial"/>
          <w:i/>
          <w:iCs/>
          <w:sz w:val="16"/>
          <w:szCs w:val="16"/>
        </w:rPr>
        <w:t xml:space="preserve"> poskytuje široké spektrum bankovních služeb soukromé i firemní klientele již od roku 1993. Klienty obsluhuje po celé České republice. Podle celkových aktiv je Raiffeisenbank pátou největší bankou na českém trhu. Majoritním akcionářem banky je rakouská finanční instituce </w:t>
      </w:r>
      <w:hyperlink r:id="rId16" w:history="1">
        <w:proofErr w:type="spellStart"/>
        <w:r w:rsidR="00A81344" w:rsidRPr="00D4093F">
          <w:rPr>
            <w:rStyle w:val="Hypertextovodkaz"/>
            <w:rFonts w:ascii="Arial" w:hAnsi="Arial" w:cs="Arial"/>
            <w:i/>
            <w:iCs/>
            <w:sz w:val="16"/>
            <w:szCs w:val="16"/>
          </w:rPr>
          <w:t>Raiffeisen</w:t>
        </w:r>
        <w:proofErr w:type="spellEnd"/>
        <w:r w:rsidR="00A81344" w:rsidRPr="00D4093F">
          <w:rPr>
            <w:rStyle w:val="Hypertextovodkaz"/>
            <w:rFonts w:ascii="Arial" w:hAnsi="Arial" w:cs="Arial"/>
            <w:i/>
            <w:iCs/>
            <w:sz w:val="16"/>
            <w:szCs w:val="16"/>
          </w:rPr>
          <w:t xml:space="preserve"> Bank International AG</w:t>
        </w:r>
      </w:hyperlink>
      <w:r w:rsidR="00A81344" w:rsidRPr="00D4093F">
        <w:rPr>
          <w:rFonts w:ascii="Arial" w:hAnsi="Arial" w:cs="Arial"/>
          <w:i/>
          <w:iCs/>
          <w:sz w:val="16"/>
          <w:szCs w:val="16"/>
        </w:rPr>
        <w:t xml:space="preserve"> (RBI). </w:t>
      </w:r>
    </w:p>
    <w:p w14:paraId="7CED80F9" w14:textId="6631142A" w:rsidR="00777D32" w:rsidRPr="004351CB" w:rsidRDefault="00777D32" w:rsidP="00A81344">
      <w:pPr>
        <w:tabs>
          <w:tab w:val="left" w:pos="0"/>
        </w:tabs>
        <w:spacing w:after="0" w:line="240" w:lineRule="auto"/>
        <w:ind w:left="-567"/>
        <w:jc w:val="both"/>
      </w:pPr>
    </w:p>
    <w:sectPr w:rsidR="00777D32" w:rsidRPr="004351CB" w:rsidSect="00FC28E2">
      <w:headerReference w:type="default" r:id="rId17"/>
      <w:footerReference w:type="default" r:id="rId1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825C" w14:textId="77777777" w:rsidR="00295224" w:rsidRDefault="00295224" w:rsidP="00377DAE">
      <w:pPr>
        <w:spacing w:after="0" w:line="240" w:lineRule="auto"/>
      </w:pPr>
      <w:r>
        <w:separator/>
      </w:r>
    </w:p>
  </w:endnote>
  <w:endnote w:type="continuationSeparator" w:id="0">
    <w:p w14:paraId="4A0ED204" w14:textId="77777777" w:rsidR="00295224" w:rsidRDefault="00295224" w:rsidP="0037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oho Gothic Pro Light">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F33E" w14:textId="77777777" w:rsidR="00A1086C" w:rsidRDefault="00A1086C" w:rsidP="00FC28E2">
    <w:pPr>
      <w:pStyle w:val="Zpat"/>
      <w:tabs>
        <w:tab w:val="left" w:pos="0"/>
      </w:tabs>
      <w:ind w:left="-567"/>
      <w:rPr>
        <w:rFonts w:ascii="Arial" w:hAnsi="Arial" w:cs="Arial"/>
        <w:sz w:val="18"/>
        <w:szCs w:val="18"/>
      </w:rPr>
    </w:pPr>
    <w:r>
      <w:rPr>
        <w:rFonts w:ascii="Arial" w:hAnsi="Arial" w:cs="Arial"/>
        <w:sz w:val="18"/>
        <w:szCs w:val="18"/>
      </w:rPr>
      <w:t>Raiffeisenbank a.s. • Hvězdova 1716/</w:t>
    </w:r>
    <w:proofErr w:type="gramStart"/>
    <w:r>
      <w:rPr>
        <w:rFonts w:ascii="Arial" w:hAnsi="Arial" w:cs="Arial"/>
        <w:sz w:val="18"/>
        <w:szCs w:val="18"/>
      </w:rPr>
      <w:t>2b</w:t>
    </w:r>
    <w:proofErr w:type="gramEnd"/>
    <w:r>
      <w:rPr>
        <w:rFonts w:ascii="Arial" w:hAnsi="Arial" w:cs="Arial"/>
        <w:sz w:val="18"/>
        <w:szCs w:val="18"/>
      </w:rPr>
      <w:t xml:space="preserve"> • 140 78, Praha 4, Česká republika • www.rb.cz </w:t>
    </w:r>
  </w:p>
  <w:p w14:paraId="43235628" w14:textId="77777777" w:rsidR="00B42FAD" w:rsidRPr="00A1086C" w:rsidRDefault="00A1086C" w:rsidP="00FC28E2">
    <w:pPr>
      <w:pStyle w:val="Zpat"/>
      <w:ind w:left="-567"/>
      <w:rPr>
        <w:rFonts w:ascii="Times New Roman" w:hAnsi="Times New Roman" w:cs="Times New Roman"/>
        <w:sz w:val="24"/>
        <w:szCs w:val="24"/>
      </w:rPr>
    </w:pPr>
    <w:r>
      <w:rPr>
        <w:rFonts w:ascii="Arial" w:hAnsi="Arial" w:cs="Arial"/>
        <w:sz w:val="18"/>
        <w:szCs w:val="18"/>
      </w:rPr>
      <w:t>Kontakt: Petra Kopecká, tisková mluvčí • tel: 234 405 909, 607 092 859 • e-mail: petra.kopecka@rb.cz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CAAE" w14:textId="77777777" w:rsidR="00295224" w:rsidRDefault="00295224" w:rsidP="00377DAE">
      <w:pPr>
        <w:spacing w:after="0" w:line="240" w:lineRule="auto"/>
      </w:pPr>
      <w:r>
        <w:separator/>
      </w:r>
    </w:p>
  </w:footnote>
  <w:footnote w:type="continuationSeparator" w:id="0">
    <w:p w14:paraId="1AA9968C" w14:textId="77777777" w:rsidR="00295224" w:rsidRDefault="00295224" w:rsidP="00377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3E1A" w14:textId="248A198A" w:rsidR="00B66D23" w:rsidRDefault="00B66D23" w:rsidP="003A1584">
    <w:pPr>
      <w:pStyle w:val="Zhlav"/>
      <w:tabs>
        <w:tab w:val="clear" w:pos="9072"/>
        <w:tab w:val="right" w:pos="10080"/>
      </w:tabs>
      <w:ind w:left="-1417"/>
    </w:pPr>
  </w:p>
  <w:p w14:paraId="417AD568" w14:textId="75C041A2" w:rsidR="00A1086C" w:rsidRDefault="000C6D2E" w:rsidP="003A1584">
    <w:pPr>
      <w:pStyle w:val="Zhlav"/>
      <w:tabs>
        <w:tab w:val="clear" w:pos="9072"/>
        <w:tab w:val="right" w:pos="10080"/>
      </w:tabs>
      <w:ind w:left="-1417"/>
    </w:pPr>
    <w:r>
      <w:rPr>
        <w:noProof/>
        <w:lang w:eastAsia="cs-CZ"/>
      </w:rPr>
      <w:drawing>
        <wp:anchor distT="0" distB="0" distL="114300" distR="114300" simplePos="0" relativeHeight="251658240" behindDoc="0" locked="0" layoutInCell="1" allowOverlap="1" wp14:anchorId="1666260E" wp14:editId="661F1DB1">
          <wp:simplePos x="0" y="0"/>
          <wp:positionH relativeFrom="margin">
            <wp:posOffset>5208905</wp:posOffset>
          </wp:positionH>
          <wp:positionV relativeFrom="margin">
            <wp:posOffset>-1915160</wp:posOffset>
          </wp:positionV>
          <wp:extent cx="1454150" cy="596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skova_zprava_2017_V3_02.jpg"/>
                  <pic:cNvPicPr/>
                </pic:nvPicPr>
                <pic:blipFill rotWithShape="1">
                  <a:blip r:embed="rId1" cstate="print">
                    <a:extLst>
                      <a:ext uri="{28A0092B-C50C-407E-A947-70E740481C1C}">
                        <a14:useLocalDpi xmlns:a14="http://schemas.microsoft.com/office/drawing/2010/main" val="0"/>
                      </a:ext>
                    </a:extLst>
                  </a:blip>
                  <a:srcRect l="80933"/>
                  <a:stretch/>
                </pic:blipFill>
                <pic:spPr bwMode="auto">
                  <a:xfrm>
                    <a:off x="0" y="0"/>
                    <a:ext cx="1454150" cy="59626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cs-CZ"/>
      </w:rPr>
      <w:drawing>
        <wp:inline distT="0" distB="0" distL="0" distR="0" wp14:anchorId="508EC530" wp14:editId="51807A7B">
          <wp:extent cx="4521200" cy="1130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skova_zprava_2017_V3_03.gif"/>
                  <pic:cNvPicPr/>
                </pic:nvPicPr>
                <pic:blipFill>
                  <a:blip r:embed="rId2">
                    <a:extLst>
                      <a:ext uri="{28A0092B-C50C-407E-A947-70E740481C1C}">
                        <a14:useLocalDpi xmlns:a14="http://schemas.microsoft.com/office/drawing/2010/main" val="0"/>
                      </a:ext>
                    </a:extLst>
                  </a:blip>
                  <a:stretch>
                    <a:fillRect/>
                  </a:stretch>
                </pic:blipFill>
                <pic:spPr>
                  <a:xfrm>
                    <a:off x="0" y="0"/>
                    <a:ext cx="4748224" cy="1187579"/>
                  </a:xfrm>
                  <a:prstGeom prst="rect">
                    <a:avLst/>
                  </a:prstGeom>
                </pic:spPr>
              </pic:pic>
            </a:graphicData>
          </a:graphic>
        </wp:inline>
      </w:drawing>
    </w:r>
  </w:p>
  <w:p w14:paraId="2059D711" w14:textId="77777777" w:rsidR="00A1086C" w:rsidRDefault="00A1086C" w:rsidP="00A1086C">
    <w:pPr>
      <w:pStyle w:val="Zhlav"/>
      <w:tabs>
        <w:tab w:val="clear" w:pos="9072"/>
        <w:tab w:val="right" w:pos="10080"/>
      </w:tabs>
      <w:ind w:left="-1417"/>
    </w:pPr>
  </w:p>
  <w:p w14:paraId="319C6A50" w14:textId="5E4A5313" w:rsidR="00A1086C" w:rsidRDefault="00A1086C" w:rsidP="00A1086C">
    <w:pPr>
      <w:pStyle w:val="Zhlav"/>
    </w:pPr>
  </w:p>
  <w:p w14:paraId="58A74F4F" w14:textId="2C254544" w:rsidR="00377DAE" w:rsidRPr="00A1086C" w:rsidRDefault="00377DAE" w:rsidP="00895C86">
    <w:pPr>
      <w:pStyle w:val="Zhlav"/>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58C"/>
    <w:multiLevelType w:val="hybridMultilevel"/>
    <w:tmpl w:val="E05810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C93900"/>
    <w:multiLevelType w:val="hybridMultilevel"/>
    <w:tmpl w:val="021AD8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9D62779"/>
    <w:multiLevelType w:val="hybridMultilevel"/>
    <w:tmpl w:val="BB8C9834"/>
    <w:lvl w:ilvl="0" w:tplc="B08EAE56">
      <w:numFmt w:val="bullet"/>
      <w:lvlText w:val=""/>
      <w:lvlJc w:val="left"/>
      <w:pPr>
        <w:ind w:left="720" w:hanging="360"/>
      </w:pPr>
      <w:rPr>
        <w:rFonts w:ascii="Calibri" w:eastAsiaTheme="minorHAnsi" w:hAnsi="Calibri" w:cs="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847DB1"/>
    <w:multiLevelType w:val="hybridMultilevel"/>
    <w:tmpl w:val="90BCF4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547821"/>
    <w:multiLevelType w:val="multilevel"/>
    <w:tmpl w:val="B3E28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F8"/>
    <w:rsid w:val="000013B6"/>
    <w:rsid w:val="00004993"/>
    <w:rsid w:val="00006CD3"/>
    <w:rsid w:val="00013E16"/>
    <w:rsid w:val="00020263"/>
    <w:rsid w:val="00020D87"/>
    <w:rsid w:val="00023074"/>
    <w:rsid w:val="00026670"/>
    <w:rsid w:val="00026ED6"/>
    <w:rsid w:val="00034DBA"/>
    <w:rsid w:val="000353C9"/>
    <w:rsid w:val="00065E78"/>
    <w:rsid w:val="00067AAD"/>
    <w:rsid w:val="00070E96"/>
    <w:rsid w:val="00072A1F"/>
    <w:rsid w:val="00085011"/>
    <w:rsid w:val="00085A66"/>
    <w:rsid w:val="000863CB"/>
    <w:rsid w:val="000B51D0"/>
    <w:rsid w:val="000C30AD"/>
    <w:rsid w:val="000C6D2E"/>
    <w:rsid w:val="000C7DFD"/>
    <w:rsid w:val="000D4024"/>
    <w:rsid w:val="000D5325"/>
    <w:rsid w:val="000E0121"/>
    <w:rsid w:val="000E202A"/>
    <w:rsid w:val="000E33FA"/>
    <w:rsid w:val="000E565B"/>
    <w:rsid w:val="000F04A4"/>
    <w:rsid w:val="000F7BCA"/>
    <w:rsid w:val="000F7EE8"/>
    <w:rsid w:val="00103873"/>
    <w:rsid w:val="00107554"/>
    <w:rsid w:val="001145A2"/>
    <w:rsid w:val="00117AF4"/>
    <w:rsid w:val="00131EAC"/>
    <w:rsid w:val="001401E1"/>
    <w:rsid w:val="00142873"/>
    <w:rsid w:val="00143AA1"/>
    <w:rsid w:val="00152F5C"/>
    <w:rsid w:val="001663F2"/>
    <w:rsid w:val="0018209A"/>
    <w:rsid w:val="001824A3"/>
    <w:rsid w:val="001877F1"/>
    <w:rsid w:val="00191AD2"/>
    <w:rsid w:val="001939F5"/>
    <w:rsid w:val="00193D97"/>
    <w:rsid w:val="001A149A"/>
    <w:rsid w:val="001A2362"/>
    <w:rsid w:val="001A4550"/>
    <w:rsid w:val="001A47E6"/>
    <w:rsid w:val="001A73AE"/>
    <w:rsid w:val="001A748E"/>
    <w:rsid w:val="001A7D60"/>
    <w:rsid w:val="001C181E"/>
    <w:rsid w:val="001C6E46"/>
    <w:rsid w:val="001D0242"/>
    <w:rsid w:val="001D0829"/>
    <w:rsid w:val="001D4E09"/>
    <w:rsid w:val="001E4E57"/>
    <w:rsid w:val="001F22B3"/>
    <w:rsid w:val="001F63D9"/>
    <w:rsid w:val="002021DE"/>
    <w:rsid w:val="0021129B"/>
    <w:rsid w:val="00212E77"/>
    <w:rsid w:val="00216DF6"/>
    <w:rsid w:val="00227BE3"/>
    <w:rsid w:val="002307CB"/>
    <w:rsid w:val="002322A0"/>
    <w:rsid w:val="002453A5"/>
    <w:rsid w:val="0024708B"/>
    <w:rsid w:val="00264CAC"/>
    <w:rsid w:val="00275D5E"/>
    <w:rsid w:val="00280F47"/>
    <w:rsid w:val="00283A67"/>
    <w:rsid w:val="002844F8"/>
    <w:rsid w:val="002853EA"/>
    <w:rsid w:val="00295224"/>
    <w:rsid w:val="002A6BB4"/>
    <w:rsid w:val="002A7E97"/>
    <w:rsid w:val="002B5AF3"/>
    <w:rsid w:val="002C4C2E"/>
    <w:rsid w:val="002D28DC"/>
    <w:rsid w:val="002D6150"/>
    <w:rsid w:val="002F73B7"/>
    <w:rsid w:val="002F7968"/>
    <w:rsid w:val="003027AB"/>
    <w:rsid w:val="00303C8E"/>
    <w:rsid w:val="00307278"/>
    <w:rsid w:val="00323A4C"/>
    <w:rsid w:val="00323E09"/>
    <w:rsid w:val="00335A76"/>
    <w:rsid w:val="00337450"/>
    <w:rsid w:val="00347706"/>
    <w:rsid w:val="00351FDD"/>
    <w:rsid w:val="00354E9D"/>
    <w:rsid w:val="00355A48"/>
    <w:rsid w:val="00367464"/>
    <w:rsid w:val="003710B0"/>
    <w:rsid w:val="00371871"/>
    <w:rsid w:val="00377B7C"/>
    <w:rsid w:val="00377DAE"/>
    <w:rsid w:val="003809C5"/>
    <w:rsid w:val="003875B3"/>
    <w:rsid w:val="00391CD0"/>
    <w:rsid w:val="00394F3A"/>
    <w:rsid w:val="003A07D2"/>
    <w:rsid w:val="003A1505"/>
    <w:rsid w:val="003A1584"/>
    <w:rsid w:val="003C23BE"/>
    <w:rsid w:val="003D0F51"/>
    <w:rsid w:val="003D4CB5"/>
    <w:rsid w:val="003D5F71"/>
    <w:rsid w:val="003F18B7"/>
    <w:rsid w:val="003F4F9E"/>
    <w:rsid w:val="003F5126"/>
    <w:rsid w:val="003F6C0B"/>
    <w:rsid w:val="003F7491"/>
    <w:rsid w:val="004015FF"/>
    <w:rsid w:val="0041726A"/>
    <w:rsid w:val="00417EAB"/>
    <w:rsid w:val="00421590"/>
    <w:rsid w:val="00425A68"/>
    <w:rsid w:val="00425ED9"/>
    <w:rsid w:val="00433F47"/>
    <w:rsid w:val="004351CB"/>
    <w:rsid w:val="004357CC"/>
    <w:rsid w:val="00437A69"/>
    <w:rsid w:val="00441240"/>
    <w:rsid w:val="00445CC4"/>
    <w:rsid w:val="00447A6F"/>
    <w:rsid w:val="0045055B"/>
    <w:rsid w:val="0045072E"/>
    <w:rsid w:val="0045308F"/>
    <w:rsid w:val="00457138"/>
    <w:rsid w:val="00461775"/>
    <w:rsid w:val="00461EB9"/>
    <w:rsid w:val="0046701A"/>
    <w:rsid w:val="00476DE8"/>
    <w:rsid w:val="00485714"/>
    <w:rsid w:val="004B0F9A"/>
    <w:rsid w:val="004C4410"/>
    <w:rsid w:val="004C6574"/>
    <w:rsid w:val="004E3759"/>
    <w:rsid w:val="004E3EB1"/>
    <w:rsid w:val="004E452F"/>
    <w:rsid w:val="004E67E5"/>
    <w:rsid w:val="004E69B2"/>
    <w:rsid w:val="004F08AC"/>
    <w:rsid w:val="004F4DE7"/>
    <w:rsid w:val="004F661A"/>
    <w:rsid w:val="00502D79"/>
    <w:rsid w:val="00506A9B"/>
    <w:rsid w:val="00511B08"/>
    <w:rsid w:val="005145D2"/>
    <w:rsid w:val="00520AD3"/>
    <w:rsid w:val="00525466"/>
    <w:rsid w:val="005373CC"/>
    <w:rsid w:val="00543502"/>
    <w:rsid w:val="005454E5"/>
    <w:rsid w:val="00545513"/>
    <w:rsid w:val="00546F54"/>
    <w:rsid w:val="005535B8"/>
    <w:rsid w:val="00556175"/>
    <w:rsid w:val="00560131"/>
    <w:rsid w:val="005601AF"/>
    <w:rsid w:val="005663A5"/>
    <w:rsid w:val="005708F3"/>
    <w:rsid w:val="00573674"/>
    <w:rsid w:val="00573E98"/>
    <w:rsid w:val="00575991"/>
    <w:rsid w:val="00581956"/>
    <w:rsid w:val="00583EFF"/>
    <w:rsid w:val="0058764E"/>
    <w:rsid w:val="00592228"/>
    <w:rsid w:val="00594821"/>
    <w:rsid w:val="0059713D"/>
    <w:rsid w:val="005A4EE8"/>
    <w:rsid w:val="005A7180"/>
    <w:rsid w:val="005B431E"/>
    <w:rsid w:val="005B67DE"/>
    <w:rsid w:val="005C272D"/>
    <w:rsid w:val="005C6521"/>
    <w:rsid w:val="005D48FF"/>
    <w:rsid w:val="005E30F0"/>
    <w:rsid w:val="005F55B4"/>
    <w:rsid w:val="00610BF3"/>
    <w:rsid w:val="0061469B"/>
    <w:rsid w:val="0061567D"/>
    <w:rsid w:val="006226F4"/>
    <w:rsid w:val="00624A76"/>
    <w:rsid w:val="006319AE"/>
    <w:rsid w:val="0063250F"/>
    <w:rsid w:val="00642483"/>
    <w:rsid w:val="006429D4"/>
    <w:rsid w:val="00645E56"/>
    <w:rsid w:val="006628A5"/>
    <w:rsid w:val="0066512F"/>
    <w:rsid w:val="006704D3"/>
    <w:rsid w:val="00670755"/>
    <w:rsid w:val="00670882"/>
    <w:rsid w:val="00672794"/>
    <w:rsid w:val="00672A34"/>
    <w:rsid w:val="00685161"/>
    <w:rsid w:val="00692E59"/>
    <w:rsid w:val="00695263"/>
    <w:rsid w:val="006A3B7C"/>
    <w:rsid w:val="006A45C8"/>
    <w:rsid w:val="006A6E54"/>
    <w:rsid w:val="006B19F1"/>
    <w:rsid w:val="006B30CD"/>
    <w:rsid w:val="006B321A"/>
    <w:rsid w:val="006B33A2"/>
    <w:rsid w:val="006C04C9"/>
    <w:rsid w:val="006C222C"/>
    <w:rsid w:val="006C2A2A"/>
    <w:rsid w:val="006C2BDD"/>
    <w:rsid w:val="006C54C2"/>
    <w:rsid w:val="006D2080"/>
    <w:rsid w:val="006D7738"/>
    <w:rsid w:val="006E0DEA"/>
    <w:rsid w:val="006E1D29"/>
    <w:rsid w:val="006E5BCF"/>
    <w:rsid w:val="006F18FC"/>
    <w:rsid w:val="006F3538"/>
    <w:rsid w:val="0070603A"/>
    <w:rsid w:val="007076D4"/>
    <w:rsid w:val="00712424"/>
    <w:rsid w:val="00720E2F"/>
    <w:rsid w:val="00720FC0"/>
    <w:rsid w:val="0072283F"/>
    <w:rsid w:val="00726AC8"/>
    <w:rsid w:val="00736534"/>
    <w:rsid w:val="00736F80"/>
    <w:rsid w:val="0074039E"/>
    <w:rsid w:val="0074744E"/>
    <w:rsid w:val="00747BD3"/>
    <w:rsid w:val="00750F19"/>
    <w:rsid w:val="007523F2"/>
    <w:rsid w:val="00761CFC"/>
    <w:rsid w:val="007720B4"/>
    <w:rsid w:val="0077386C"/>
    <w:rsid w:val="00777D32"/>
    <w:rsid w:val="00777F88"/>
    <w:rsid w:val="0078176C"/>
    <w:rsid w:val="0079172A"/>
    <w:rsid w:val="007A00FB"/>
    <w:rsid w:val="007A6A61"/>
    <w:rsid w:val="007A7D79"/>
    <w:rsid w:val="007B7325"/>
    <w:rsid w:val="007C0303"/>
    <w:rsid w:val="007C134C"/>
    <w:rsid w:val="007C3D6F"/>
    <w:rsid w:val="007C4D90"/>
    <w:rsid w:val="007D3547"/>
    <w:rsid w:val="007E1D70"/>
    <w:rsid w:val="007E4139"/>
    <w:rsid w:val="007F02E7"/>
    <w:rsid w:val="00803780"/>
    <w:rsid w:val="0081096B"/>
    <w:rsid w:val="008146A8"/>
    <w:rsid w:val="00816491"/>
    <w:rsid w:val="00821CBE"/>
    <w:rsid w:val="00824AD3"/>
    <w:rsid w:val="008262B0"/>
    <w:rsid w:val="00831251"/>
    <w:rsid w:val="00835C2B"/>
    <w:rsid w:val="00837C12"/>
    <w:rsid w:val="0084516D"/>
    <w:rsid w:val="008603C7"/>
    <w:rsid w:val="00870366"/>
    <w:rsid w:val="00874DAD"/>
    <w:rsid w:val="00885E50"/>
    <w:rsid w:val="0088683F"/>
    <w:rsid w:val="00892C0D"/>
    <w:rsid w:val="00895C86"/>
    <w:rsid w:val="008A0DA2"/>
    <w:rsid w:val="008A4830"/>
    <w:rsid w:val="008A4AB1"/>
    <w:rsid w:val="008A5F9C"/>
    <w:rsid w:val="008A6756"/>
    <w:rsid w:val="008B27C6"/>
    <w:rsid w:val="008B2C33"/>
    <w:rsid w:val="008E0CB3"/>
    <w:rsid w:val="008E59B0"/>
    <w:rsid w:val="008E6C62"/>
    <w:rsid w:val="008F3C14"/>
    <w:rsid w:val="009028D3"/>
    <w:rsid w:val="00907A0D"/>
    <w:rsid w:val="009127EF"/>
    <w:rsid w:val="00915833"/>
    <w:rsid w:val="00915C48"/>
    <w:rsid w:val="009205C1"/>
    <w:rsid w:val="009222CD"/>
    <w:rsid w:val="00922AA2"/>
    <w:rsid w:val="00925CF6"/>
    <w:rsid w:val="00934DD7"/>
    <w:rsid w:val="00940F22"/>
    <w:rsid w:val="00947359"/>
    <w:rsid w:val="009527AC"/>
    <w:rsid w:val="009536DE"/>
    <w:rsid w:val="009566D3"/>
    <w:rsid w:val="0096016D"/>
    <w:rsid w:val="00961BA2"/>
    <w:rsid w:val="00964BAC"/>
    <w:rsid w:val="00967A22"/>
    <w:rsid w:val="00967DD7"/>
    <w:rsid w:val="00975203"/>
    <w:rsid w:val="00976341"/>
    <w:rsid w:val="00982A09"/>
    <w:rsid w:val="00983073"/>
    <w:rsid w:val="009967FF"/>
    <w:rsid w:val="009978AC"/>
    <w:rsid w:val="009A2D2C"/>
    <w:rsid w:val="009A51C6"/>
    <w:rsid w:val="009B1420"/>
    <w:rsid w:val="009C00C6"/>
    <w:rsid w:val="009C1B64"/>
    <w:rsid w:val="009C2144"/>
    <w:rsid w:val="009C2913"/>
    <w:rsid w:val="009D4A04"/>
    <w:rsid w:val="009D6DE8"/>
    <w:rsid w:val="009E34B3"/>
    <w:rsid w:val="009F06E3"/>
    <w:rsid w:val="009F3FDA"/>
    <w:rsid w:val="009F4D38"/>
    <w:rsid w:val="00A04C71"/>
    <w:rsid w:val="00A1086C"/>
    <w:rsid w:val="00A31A6F"/>
    <w:rsid w:val="00A33AB8"/>
    <w:rsid w:val="00A36B3E"/>
    <w:rsid w:val="00A46450"/>
    <w:rsid w:val="00A54C7E"/>
    <w:rsid w:val="00A55FED"/>
    <w:rsid w:val="00A57A27"/>
    <w:rsid w:val="00A62ABC"/>
    <w:rsid w:val="00A658C3"/>
    <w:rsid w:val="00A67D7C"/>
    <w:rsid w:val="00A72FB2"/>
    <w:rsid w:val="00A81344"/>
    <w:rsid w:val="00A82120"/>
    <w:rsid w:val="00A85B08"/>
    <w:rsid w:val="00A9019F"/>
    <w:rsid w:val="00AB44BD"/>
    <w:rsid w:val="00AC208F"/>
    <w:rsid w:val="00AC2EB9"/>
    <w:rsid w:val="00AC3995"/>
    <w:rsid w:val="00AC4926"/>
    <w:rsid w:val="00AC72D2"/>
    <w:rsid w:val="00AC79B9"/>
    <w:rsid w:val="00AD6E6E"/>
    <w:rsid w:val="00AD79CC"/>
    <w:rsid w:val="00AE1E34"/>
    <w:rsid w:val="00AE531E"/>
    <w:rsid w:val="00AF2606"/>
    <w:rsid w:val="00AF73A7"/>
    <w:rsid w:val="00B04B75"/>
    <w:rsid w:val="00B069D1"/>
    <w:rsid w:val="00B12AFC"/>
    <w:rsid w:val="00B14F72"/>
    <w:rsid w:val="00B15A36"/>
    <w:rsid w:val="00B21DC6"/>
    <w:rsid w:val="00B2448C"/>
    <w:rsid w:val="00B26760"/>
    <w:rsid w:val="00B3105D"/>
    <w:rsid w:val="00B31B1E"/>
    <w:rsid w:val="00B33262"/>
    <w:rsid w:val="00B33FC0"/>
    <w:rsid w:val="00B37163"/>
    <w:rsid w:val="00B40A79"/>
    <w:rsid w:val="00B42279"/>
    <w:rsid w:val="00B42FAD"/>
    <w:rsid w:val="00B51382"/>
    <w:rsid w:val="00B60CC0"/>
    <w:rsid w:val="00B63E53"/>
    <w:rsid w:val="00B66D23"/>
    <w:rsid w:val="00B73F43"/>
    <w:rsid w:val="00B74BE5"/>
    <w:rsid w:val="00B75F0C"/>
    <w:rsid w:val="00B777F1"/>
    <w:rsid w:val="00B82FBC"/>
    <w:rsid w:val="00B900CF"/>
    <w:rsid w:val="00B90676"/>
    <w:rsid w:val="00B91888"/>
    <w:rsid w:val="00B94623"/>
    <w:rsid w:val="00B96E23"/>
    <w:rsid w:val="00BA03FB"/>
    <w:rsid w:val="00BA0AE3"/>
    <w:rsid w:val="00BA1793"/>
    <w:rsid w:val="00BA55E3"/>
    <w:rsid w:val="00BB5AAE"/>
    <w:rsid w:val="00BC32D1"/>
    <w:rsid w:val="00BC36BE"/>
    <w:rsid w:val="00BC5B0F"/>
    <w:rsid w:val="00BC7613"/>
    <w:rsid w:val="00BD77D5"/>
    <w:rsid w:val="00BF0613"/>
    <w:rsid w:val="00BF274A"/>
    <w:rsid w:val="00C01899"/>
    <w:rsid w:val="00C02A03"/>
    <w:rsid w:val="00C0649B"/>
    <w:rsid w:val="00C07F0B"/>
    <w:rsid w:val="00C1552F"/>
    <w:rsid w:val="00C16B85"/>
    <w:rsid w:val="00C2469F"/>
    <w:rsid w:val="00C24C43"/>
    <w:rsid w:val="00C43415"/>
    <w:rsid w:val="00C441D5"/>
    <w:rsid w:val="00C52652"/>
    <w:rsid w:val="00C54A19"/>
    <w:rsid w:val="00C61C26"/>
    <w:rsid w:val="00C65B03"/>
    <w:rsid w:val="00C74FBE"/>
    <w:rsid w:val="00C75D28"/>
    <w:rsid w:val="00C76FCD"/>
    <w:rsid w:val="00C850AE"/>
    <w:rsid w:val="00C85743"/>
    <w:rsid w:val="00C879C1"/>
    <w:rsid w:val="00C90766"/>
    <w:rsid w:val="00C9362E"/>
    <w:rsid w:val="00CA054F"/>
    <w:rsid w:val="00CA1C90"/>
    <w:rsid w:val="00CB349E"/>
    <w:rsid w:val="00CB5DE2"/>
    <w:rsid w:val="00CD4192"/>
    <w:rsid w:val="00CD43A6"/>
    <w:rsid w:val="00CE388C"/>
    <w:rsid w:val="00CE3EB4"/>
    <w:rsid w:val="00CF1C16"/>
    <w:rsid w:val="00CF2EB2"/>
    <w:rsid w:val="00CF6D13"/>
    <w:rsid w:val="00D03544"/>
    <w:rsid w:val="00D039C7"/>
    <w:rsid w:val="00D03A8D"/>
    <w:rsid w:val="00D076E3"/>
    <w:rsid w:val="00D12571"/>
    <w:rsid w:val="00D2206A"/>
    <w:rsid w:val="00D241F5"/>
    <w:rsid w:val="00D32448"/>
    <w:rsid w:val="00D33E9C"/>
    <w:rsid w:val="00D37EE7"/>
    <w:rsid w:val="00D42CB0"/>
    <w:rsid w:val="00D45C15"/>
    <w:rsid w:val="00D53A21"/>
    <w:rsid w:val="00D6061E"/>
    <w:rsid w:val="00D60CFC"/>
    <w:rsid w:val="00D673BE"/>
    <w:rsid w:val="00D7238F"/>
    <w:rsid w:val="00D81E22"/>
    <w:rsid w:val="00D92624"/>
    <w:rsid w:val="00D94C85"/>
    <w:rsid w:val="00D9543A"/>
    <w:rsid w:val="00DA1351"/>
    <w:rsid w:val="00DA5062"/>
    <w:rsid w:val="00DB28B1"/>
    <w:rsid w:val="00DB3F1B"/>
    <w:rsid w:val="00DB50BF"/>
    <w:rsid w:val="00DB5396"/>
    <w:rsid w:val="00DC30AD"/>
    <w:rsid w:val="00DD1A2E"/>
    <w:rsid w:val="00DD4E82"/>
    <w:rsid w:val="00DE7C0E"/>
    <w:rsid w:val="00DF3DB9"/>
    <w:rsid w:val="00E02CF2"/>
    <w:rsid w:val="00E06A55"/>
    <w:rsid w:val="00E10E8C"/>
    <w:rsid w:val="00E12E6F"/>
    <w:rsid w:val="00E16F87"/>
    <w:rsid w:val="00E2326C"/>
    <w:rsid w:val="00E24CFD"/>
    <w:rsid w:val="00E305C9"/>
    <w:rsid w:val="00E34E52"/>
    <w:rsid w:val="00E356BF"/>
    <w:rsid w:val="00E358A3"/>
    <w:rsid w:val="00E42ACD"/>
    <w:rsid w:val="00E42C73"/>
    <w:rsid w:val="00E546C8"/>
    <w:rsid w:val="00E55085"/>
    <w:rsid w:val="00E55651"/>
    <w:rsid w:val="00E6714A"/>
    <w:rsid w:val="00E77302"/>
    <w:rsid w:val="00E86BC7"/>
    <w:rsid w:val="00E97DC2"/>
    <w:rsid w:val="00EA5FFB"/>
    <w:rsid w:val="00EA62EB"/>
    <w:rsid w:val="00EB2C99"/>
    <w:rsid w:val="00EB4FDC"/>
    <w:rsid w:val="00EC1517"/>
    <w:rsid w:val="00EC2C7D"/>
    <w:rsid w:val="00EC4B9A"/>
    <w:rsid w:val="00ED0C9B"/>
    <w:rsid w:val="00ED2280"/>
    <w:rsid w:val="00ED37D9"/>
    <w:rsid w:val="00ED3E8F"/>
    <w:rsid w:val="00ED7ADB"/>
    <w:rsid w:val="00EE3A2A"/>
    <w:rsid w:val="00F045D9"/>
    <w:rsid w:val="00F07B16"/>
    <w:rsid w:val="00F1273A"/>
    <w:rsid w:val="00F17AAB"/>
    <w:rsid w:val="00F24AB8"/>
    <w:rsid w:val="00F251D9"/>
    <w:rsid w:val="00F252AF"/>
    <w:rsid w:val="00F26E84"/>
    <w:rsid w:val="00F316B6"/>
    <w:rsid w:val="00F343E5"/>
    <w:rsid w:val="00F3483A"/>
    <w:rsid w:val="00F36BB0"/>
    <w:rsid w:val="00F40D5A"/>
    <w:rsid w:val="00F50A90"/>
    <w:rsid w:val="00F5220A"/>
    <w:rsid w:val="00F53C4D"/>
    <w:rsid w:val="00F646BE"/>
    <w:rsid w:val="00F65B2F"/>
    <w:rsid w:val="00F67BB6"/>
    <w:rsid w:val="00F7076C"/>
    <w:rsid w:val="00F73347"/>
    <w:rsid w:val="00F830EF"/>
    <w:rsid w:val="00F84A69"/>
    <w:rsid w:val="00F8752B"/>
    <w:rsid w:val="00F94A49"/>
    <w:rsid w:val="00FA2FB4"/>
    <w:rsid w:val="00FA7D93"/>
    <w:rsid w:val="00FB01F8"/>
    <w:rsid w:val="00FB2F21"/>
    <w:rsid w:val="00FB3CA0"/>
    <w:rsid w:val="00FB6314"/>
    <w:rsid w:val="00FB6FBD"/>
    <w:rsid w:val="00FC1416"/>
    <w:rsid w:val="00FC28E2"/>
    <w:rsid w:val="00FC6D4B"/>
    <w:rsid w:val="00FD0312"/>
    <w:rsid w:val="00FD3BEF"/>
    <w:rsid w:val="00FD4258"/>
    <w:rsid w:val="00FD5B5B"/>
    <w:rsid w:val="00FE3157"/>
    <w:rsid w:val="00FF3725"/>
    <w:rsid w:val="00FF5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95CA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81344"/>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33AB8"/>
    <w:pPr>
      <w:spacing w:before="100" w:beforeAutospacing="1" w:after="100" w:afterAutospacing="1" w:line="240" w:lineRule="auto"/>
    </w:pPr>
    <w:rPr>
      <w:rFonts w:ascii="Times New Roman" w:eastAsiaTheme="minorHAnsi" w:hAnsi="Times New Roman" w:cs="Times New Roman"/>
      <w:sz w:val="24"/>
      <w:szCs w:val="24"/>
    </w:rPr>
  </w:style>
  <w:style w:type="character" w:styleId="Hypertextovodkaz">
    <w:name w:val="Hyperlink"/>
    <w:basedOn w:val="Standardnpsmoodstavce"/>
    <w:uiPriority w:val="99"/>
    <w:unhideWhenUsed/>
    <w:rsid w:val="00610BF3"/>
    <w:rPr>
      <w:color w:val="0563C1" w:themeColor="hyperlink"/>
      <w:u w:val="single"/>
    </w:rPr>
  </w:style>
  <w:style w:type="paragraph" w:styleId="Zkladntext">
    <w:name w:val="Body Text"/>
    <w:basedOn w:val="Normln"/>
    <w:link w:val="ZkladntextChar"/>
    <w:rsid w:val="00377DAE"/>
    <w:pPr>
      <w:spacing w:before="100" w:beforeAutospacing="1" w:after="100" w:afterAutospacing="1" w:line="360" w:lineRule="auto"/>
      <w:jc w:val="both"/>
    </w:pPr>
    <w:rPr>
      <w:rFonts w:ascii="Times New Roman" w:eastAsia="Times New Roman" w:hAnsi="Times New Roman" w:cs="Times New Roman"/>
      <w:szCs w:val="19"/>
    </w:rPr>
  </w:style>
  <w:style w:type="character" w:customStyle="1" w:styleId="ZkladntextChar">
    <w:name w:val="Základní text Char"/>
    <w:basedOn w:val="Standardnpsmoodstavce"/>
    <w:link w:val="Zkladntext"/>
    <w:rsid w:val="00377DAE"/>
    <w:rPr>
      <w:rFonts w:ascii="Times New Roman" w:eastAsia="Times New Roman" w:hAnsi="Times New Roman" w:cs="Times New Roman"/>
      <w:szCs w:val="19"/>
      <w:lang w:eastAsia="cs-CZ"/>
    </w:rPr>
  </w:style>
  <w:style w:type="paragraph" w:styleId="Zkladntext2">
    <w:name w:val="Body Text 2"/>
    <w:basedOn w:val="Normln"/>
    <w:link w:val="Zkladntext2Char"/>
    <w:rsid w:val="00377DAE"/>
    <w:pPr>
      <w:spacing w:after="0" w:line="360" w:lineRule="auto"/>
      <w:jc w:val="both"/>
    </w:pPr>
    <w:rPr>
      <w:rFonts w:ascii="Times New Roman" w:eastAsia="Times New Roman" w:hAnsi="Times New Roman" w:cs="Times New Roman"/>
      <w:sz w:val="24"/>
      <w:szCs w:val="19"/>
    </w:rPr>
  </w:style>
  <w:style w:type="character" w:customStyle="1" w:styleId="Zkladntext2Char">
    <w:name w:val="Základní text 2 Char"/>
    <w:basedOn w:val="Standardnpsmoodstavce"/>
    <w:link w:val="Zkladntext2"/>
    <w:rsid w:val="00377DAE"/>
    <w:rPr>
      <w:rFonts w:ascii="Times New Roman" w:eastAsia="Times New Roman" w:hAnsi="Times New Roman" w:cs="Times New Roman"/>
      <w:sz w:val="24"/>
      <w:szCs w:val="19"/>
      <w:lang w:eastAsia="cs-CZ"/>
    </w:rPr>
  </w:style>
  <w:style w:type="paragraph" w:styleId="Zhlav">
    <w:name w:val="header"/>
    <w:basedOn w:val="Normln"/>
    <w:link w:val="ZhlavChar"/>
    <w:unhideWhenUsed/>
    <w:rsid w:val="00377DAE"/>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rsid w:val="00377DAE"/>
  </w:style>
  <w:style w:type="paragraph" w:styleId="Zpat">
    <w:name w:val="footer"/>
    <w:basedOn w:val="Normln"/>
    <w:link w:val="ZpatChar"/>
    <w:unhideWhenUsed/>
    <w:rsid w:val="00377DAE"/>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rsid w:val="00377DAE"/>
  </w:style>
  <w:style w:type="character" w:styleId="Odkaznakoment">
    <w:name w:val="annotation reference"/>
    <w:basedOn w:val="Standardnpsmoodstavce"/>
    <w:uiPriority w:val="99"/>
    <w:semiHidden/>
    <w:unhideWhenUsed/>
    <w:rsid w:val="00FE3157"/>
    <w:rPr>
      <w:sz w:val="16"/>
      <w:szCs w:val="16"/>
    </w:rPr>
  </w:style>
  <w:style w:type="paragraph" w:styleId="Textkomente">
    <w:name w:val="annotation text"/>
    <w:basedOn w:val="Normln"/>
    <w:link w:val="TextkomenteChar"/>
    <w:uiPriority w:val="99"/>
    <w:semiHidden/>
    <w:unhideWhenUsed/>
    <w:rsid w:val="00FE3157"/>
    <w:pPr>
      <w:spacing w:line="240" w:lineRule="auto"/>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FE3157"/>
    <w:rPr>
      <w:sz w:val="20"/>
      <w:szCs w:val="20"/>
    </w:rPr>
  </w:style>
  <w:style w:type="paragraph" w:styleId="Pedmtkomente">
    <w:name w:val="annotation subject"/>
    <w:basedOn w:val="Textkomente"/>
    <w:next w:val="Textkomente"/>
    <w:link w:val="PedmtkomenteChar"/>
    <w:uiPriority w:val="99"/>
    <w:semiHidden/>
    <w:unhideWhenUsed/>
    <w:rsid w:val="00FE3157"/>
    <w:rPr>
      <w:b/>
      <w:bCs/>
    </w:rPr>
  </w:style>
  <w:style w:type="character" w:customStyle="1" w:styleId="PedmtkomenteChar">
    <w:name w:val="Předmět komentáře Char"/>
    <w:basedOn w:val="TextkomenteChar"/>
    <w:link w:val="Pedmtkomente"/>
    <w:uiPriority w:val="99"/>
    <w:semiHidden/>
    <w:rsid w:val="00FE3157"/>
    <w:rPr>
      <w:b/>
      <w:bCs/>
      <w:sz w:val="20"/>
      <w:szCs w:val="20"/>
    </w:rPr>
  </w:style>
  <w:style w:type="paragraph" w:styleId="Textbubliny">
    <w:name w:val="Balloon Text"/>
    <w:basedOn w:val="Normln"/>
    <w:link w:val="TextbublinyChar"/>
    <w:uiPriority w:val="99"/>
    <w:semiHidden/>
    <w:unhideWhenUsed/>
    <w:rsid w:val="00FE3157"/>
    <w:pPr>
      <w:spacing w:after="0" w:line="240" w:lineRule="auto"/>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semiHidden/>
    <w:rsid w:val="00FE3157"/>
    <w:rPr>
      <w:rFonts w:ascii="Segoe UI" w:hAnsi="Segoe UI" w:cs="Segoe UI"/>
      <w:sz w:val="18"/>
      <w:szCs w:val="18"/>
    </w:rPr>
  </w:style>
  <w:style w:type="character" w:styleId="Sledovanodkaz">
    <w:name w:val="FollowedHyperlink"/>
    <w:basedOn w:val="Standardnpsmoodstavce"/>
    <w:uiPriority w:val="99"/>
    <w:semiHidden/>
    <w:unhideWhenUsed/>
    <w:rsid w:val="00323A4C"/>
    <w:rPr>
      <w:color w:val="954F72" w:themeColor="followedHyperlink"/>
      <w:u w:val="single"/>
    </w:rPr>
  </w:style>
  <w:style w:type="table" w:styleId="Mkatabulky">
    <w:name w:val="Table Grid"/>
    <w:basedOn w:val="Normlntabulka"/>
    <w:uiPriority w:val="39"/>
    <w:rsid w:val="0055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28A5"/>
    <w:pPr>
      <w:autoSpaceDE w:val="0"/>
      <w:autoSpaceDN w:val="0"/>
      <w:adjustRightInd w:val="0"/>
      <w:spacing w:after="0" w:line="240" w:lineRule="auto"/>
    </w:pPr>
    <w:rPr>
      <w:rFonts w:ascii="Soho Gothic Pro Light" w:hAnsi="Soho Gothic Pro Light" w:cs="Soho Gothic Pro Light"/>
      <w:color w:val="000000"/>
      <w:sz w:val="24"/>
      <w:szCs w:val="24"/>
    </w:rPr>
  </w:style>
  <w:style w:type="character" w:customStyle="1" w:styleId="A3">
    <w:name w:val="A3"/>
    <w:uiPriority w:val="99"/>
    <w:rsid w:val="006628A5"/>
    <w:rPr>
      <w:rFonts w:cs="Soho Gothic Pro Light"/>
      <w:color w:val="000000"/>
      <w:sz w:val="32"/>
      <w:szCs w:val="32"/>
    </w:rPr>
  </w:style>
  <w:style w:type="paragraph" w:styleId="Odstavecseseznamem">
    <w:name w:val="List Paragraph"/>
    <w:basedOn w:val="Normln"/>
    <w:uiPriority w:val="34"/>
    <w:qFormat/>
    <w:rsid w:val="00E16F87"/>
    <w:pPr>
      <w:ind w:left="720"/>
      <w:contextualSpacing/>
    </w:pPr>
    <w:rPr>
      <w:rFonts w:asciiTheme="minorHAnsi" w:eastAsiaTheme="minorHAnsi" w:hAnsiTheme="minorHAnsi" w:cstheme="minorBidi"/>
      <w:lang w:eastAsia="en-US"/>
    </w:rPr>
  </w:style>
  <w:style w:type="character" w:styleId="Siln">
    <w:name w:val="Strong"/>
    <w:basedOn w:val="Standardnpsmoodstavce"/>
    <w:uiPriority w:val="22"/>
    <w:qFormat/>
    <w:rsid w:val="00922AA2"/>
    <w:rPr>
      <w:b/>
      <w:bCs/>
    </w:rPr>
  </w:style>
  <w:style w:type="paragraph" w:styleId="Nzev">
    <w:name w:val="Title"/>
    <w:basedOn w:val="Normln"/>
    <w:next w:val="Normln"/>
    <w:link w:val="NzevChar"/>
    <w:rsid w:val="00FD4258"/>
    <w:pPr>
      <w:spacing w:after="0" w:line="240" w:lineRule="auto"/>
    </w:pPr>
    <w:rPr>
      <w:sz w:val="56"/>
      <w:szCs w:val="56"/>
    </w:rPr>
  </w:style>
  <w:style w:type="character" w:customStyle="1" w:styleId="NzevChar">
    <w:name w:val="Název Char"/>
    <w:basedOn w:val="Standardnpsmoodstavce"/>
    <w:link w:val="Nzev"/>
    <w:rsid w:val="00FD4258"/>
    <w:rPr>
      <w:rFonts w:ascii="Calibri" w:eastAsia="Calibri" w:hAnsi="Calibri" w:cs="Calibri"/>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8077">
      <w:bodyDiv w:val="1"/>
      <w:marLeft w:val="0"/>
      <w:marRight w:val="0"/>
      <w:marTop w:val="0"/>
      <w:marBottom w:val="0"/>
      <w:divBdr>
        <w:top w:val="none" w:sz="0" w:space="0" w:color="auto"/>
        <w:left w:val="none" w:sz="0" w:space="0" w:color="auto"/>
        <w:bottom w:val="none" w:sz="0" w:space="0" w:color="auto"/>
        <w:right w:val="none" w:sz="0" w:space="0" w:color="auto"/>
      </w:divBdr>
    </w:div>
    <w:div w:id="319770078">
      <w:bodyDiv w:val="1"/>
      <w:marLeft w:val="0"/>
      <w:marRight w:val="0"/>
      <w:marTop w:val="0"/>
      <w:marBottom w:val="0"/>
      <w:divBdr>
        <w:top w:val="none" w:sz="0" w:space="0" w:color="auto"/>
        <w:left w:val="none" w:sz="0" w:space="0" w:color="auto"/>
        <w:bottom w:val="none" w:sz="0" w:space="0" w:color="auto"/>
        <w:right w:val="none" w:sz="0" w:space="0" w:color="auto"/>
      </w:divBdr>
    </w:div>
    <w:div w:id="1288007990">
      <w:bodyDiv w:val="1"/>
      <w:marLeft w:val="0"/>
      <w:marRight w:val="0"/>
      <w:marTop w:val="0"/>
      <w:marBottom w:val="0"/>
      <w:divBdr>
        <w:top w:val="none" w:sz="0" w:space="0" w:color="auto"/>
        <w:left w:val="none" w:sz="0" w:space="0" w:color="auto"/>
        <w:bottom w:val="none" w:sz="0" w:space="0" w:color="auto"/>
        <w:right w:val="none" w:sz="0" w:space="0" w:color="auto"/>
      </w:divBdr>
    </w:div>
    <w:div w:id="16441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binternational.com/eBusiness/01_template1/826124957350877869-NA-NA-NA-1-N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rb.cz/osobni"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rb.cz\group\Research\Odhady\IAE\AIE_duben_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rb.cz\group\Research\Odhady\IAE\Exportni_index_2021-Q1_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rb.cz\group\Research\Odhady\IAE\Exportni_index_2021-Q1_data.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rb.cz\group\Research\David\Copy%20of%20Exportni_index_2021-Q1_data_copy.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rb.cz\group\Research\David\Copy%20of%20Exportni_index_2021-Q1_data_copy.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file:///\\rb.cz\group\Research\David\Copy%20of%20Exportni_index_2021-Q1_data_cop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cs-CZ" sz="1200" b="1" i="0" u="none" strike="noStrike" baseline="0">
                <a:effectLst/>
              </a:rPr>
              <a:t>Index Exportu </a:t>
            </a:r>
            <a:r>
              <a:rPr lang="cs-CZ" sz="1200" b="1" i="0" u="none" strike="noStrike" kern="1200" baseline="0">
                <a:solidFill>
                  <a:sysClr val="windowText" lastClr="000000"/>
                </a:solidFill>
                <a:effectLst/>
                <a:latin typeface="+mn-lt"/>
                <a:ea typeface="+mn-ea"/>
                <a:cs typeface="+mn-cs"/>
              </a:rPr>
              <a:t>– vysoká očekávání po kostrbatém začátku roku </a:t>
            </a:r>
            <a:endParaRPr lang="cs-CZ" sz="1200"/>
          </a:p>
        </c:rich>
      </c:tx>
      <c:layout>
        <c:manualLayout>
          <c:xMode val="edge"/>
          <c:yMode val="edge"/>
          <c:x val="0.15832222361093753"/>
          <c:y val="1.2670256572695597E-2"/>
        </c:manualLayout>
      </c:layout>
      <c:overlay val="0"/>
      <c:spPr>
        <a:noFill/>
      </c:spPr>
    </c:title>
    <c:autoTitleDeleted val="0"/>
    <c:plotArea>
      <c:layout>
        <c:manualLayout>
          <c:layoutTarget val="inner"/>
          <c:xMode val="edge"/>
          <c:yMode val="edge"/>
          <c:x val="7.4859960310272047E-2"/>
          <c:y val="0.11111388519365434"/>
          <c:w val="0.88056048893497174"/>
          <c:h val="0.57995478208955731"/>
        </c:manualLayout>
      </c:layout>
      <c:lineChart>
        <c:grouping val="standard"/>
        <c:varyColors val="0"/>
        <c:ser>
          <c:idx val="0"/>
          <c:order val="0"/>
          <c:tx>
            <c:v>Růst exportu v národním pojetí</c:v>
          </c:tx>
          <c:spPr>
            <a:ln>
              <a:solidFill>
                <a:srgbClr val="C0504D"/>
              </a:solidFill>
            </a:ln>
          </c:spPr>
          <c:marker>
            <c:symbol val="none"/>
          </c:marker>
          <c:cat>
            <c:numRef>
              <c:f>'Původní model (M 1)'!$A$3:$A$180</c:f>
              <c:numCache>
                <c:formatCode>m/d/yyyy</c:formatCode>
                <c:ptCount val="178"/>
                <c:pt idx="0">
                  <c:v>38961</c:v>
                </c:pt>
                <c:pt idx="1">
                  <c:v>38991</c:v>
                </c:pt>
                <c:pt idx="2">
                  <c:v>39022</c:v>
                </c:pt>
                <c:pt idx="3">
                  <c:v>39052</c:v>
                </c:pt>
                <c:pt idx="4">
                  <c:v>39083</c:v>
                </c:pt>
                <c:pt idx="5">
                  <c:v>39114</c:v>
                </c:pt>
                <c:pt idx="6">
                  <c:v>39142</c:v>
                </c:pt>
                <c:pt idx="7">
                  <c:v>39173</c:v>
                </c:pt>
                <c:pt idx="8">
                  <c:v>39203</c:v>
                </c:pt>
                <c:pt idx="9">
                  <c:v>39234</c:v>
                </c:pt>
                <c:pt idx="10">
                  <c:v>39264</c:v>
                </c:pt>
                <c:pt idx="11">
                  <c:v>39295</c:v>
                </c:pt>
                <c:pt idx="12">
                  <c:v>39326</c:v>
                </c:pt>
                <c:pt idx="13">
                  <c:v>39356</c:v>
                </c:pt>
                <c:pt idx="14">
                  <c:v>39387</c:v>
                </c:pt>
                <c:pt idx="15">
                  <c:v>39417</c:v>
                </c:pt>
                <c:pt idx="16">
                  <c:v>39448</c:v>
                </c:pt>
                <c:pt idx="17">
                  <c:v>39479</c:v>
                </c:pt>
                <c:pt idx="18">
                  <c:v>39508</c:v>
                </c:pt>
                <c:pt idx="19">
                  <c:v>39539</c:v>
                </c:pt>
                <c:pt idx="20">
                  <c:v>39569</c:v>
                </c:pt>
                <c:pt idx="21">
                  <c:v>39600</c:v>
                </c:pt>
                <c:pt idx="22">
                  <c:v>39630</c:v>
                </c:pt>
                <c:pt idx="23">
                  <c:v>39661</c:v>
                </c:pt>
                <c:pt idx="24">
                  <c:v>39692</c:v>
                </c:pt>
                <c:pt idx="25">
                  <c:v>39722</c:v>
                </c:pt>
                <c:pt idx="26">
                  <c:v>39753</c:v>
                </c:pt>
                <c:pt idx="27">
                  <c:v>39783</c:v>
                </c:pt>
                <c:pt idx="28">
                  <c:v>39814</c:v>
                </c:pt>
                <c:pt idx="29">
                  <c:v>39845</c:v>
                </c:pt>
                <c:pt idx="30">
                  <c:v>39873</c:v>
                </c:pt>
                <c:pt idx="31">
                  <c:v>39904</c:v>
                </c:pt>
                <c:pt idx="32">
                  <c:v>39934</c:v>
                </c:pt>
                <c:pt idx="33">
                  <c:v>39965</c:v>
                </c:pt>
                <c:pt idx="34">
                  <c:v>39995</c:v>
                </c:pt>
                <c:pt idx="35">
                  <c:v>40026</c:v>
                </c:pt>
                <c:pt idx="36">
                  <c:v>40057</c:v>
                </c:pt>
                <c:pt idx="37">
                  <c:v>40087</c:v>
                </c:pt>
                <c:pt idx="38">
                  <c:v>40118</c:v>
                </c:pt>
                <c:pt idx="39">
                  <c:v>40148</c:v>
                </c:pt>
                <c:pt idx="40">
                  <c:v>40179</c:v>
                </c:pt>
                <c:pt idx="41">
                  <c:v>40210</c:v>
                </c:pt>
                <c:pt idx="42">
                  <c:v>40238</c:v>
                </c:pt>
                <c:pt idx="43">
                  <c:v>40269</c:v>
                </c:pt>
                <c:pt idx="44">
                  <c:v>40299</c:v>
                </c:pt>
                <c:pt idx="45">
                  <c:v>40330</c:v>
                </c:pt>
                <c:pt idx="46">
                  <c:v>40360</c:v>
                </c:pt>
                <c:pt idx="47">
                  <c:v>40391</c:v>
                </c:pt>
                <c:pt idx="48">
                  <c:v>40422</c:v>
                </c:pt>
                <c:pt idx="49">
                  <c:v>40452</c:v>
                </c:pt>
                <c:pt idx="50">
                  <c:v>40483</c:v>
                </c:pt>
                <c:pt idx="51">
                  <c:v>40513</c:v>
                </c:pt>
                <c:pt idx="52">
                  <c:v>40544</c:v>
                </c:pt>
                <c:pt idx="53">
                  <c:v>40575</c:v>
                </c:pt>
                <c:pt idx="54">
                  <c:v>40603</c:v>
                </c:pt>
                <c:pt idx="55">
                  <c:v>40634</c:v>
                </c:pt>
                <c:pt idx="56">
                  <c:v>40664</c:v>
                </c:pt>
                <c:pt idx="57">
                  <c:v>40695</c:v>
                </c:pt>
                <c:pt idx="58">
                  <c:v>40725</c:v>
                </c:pt>
                <c:pt idx="59">
                  <c:v>40756</c:v>
                </c:pt>
                <c:pt idx="60">
                  <c:v>40787</c:v>
                </c:pt>
                <c:pt idx="61">
                  <c:v>40817</c:v>
                </c:pt>
                <c:pt idx="62">
                  <c:v>40848</c:v>
                </c:pt>
                <c:pt idx="63">
                  <c:v>40878</c:v>
                </c:pt>
                <c:pt idx="64">
                  <c:v>40909</c:v>
                </c:pt>
                <c:pt idx="65">
                  <c:v>40940</c:v>
                </c:pt>
                <c:pt idx="66">
                  <c:v>40969</c:v>
                </c:pt>
                <c:pt idx="67">
                  <c:v>41000</c:v>
                </c:pt>
                <c:pt idx="68">
                  <c:v>41030</c:v>
                </c:pt>
                <c:pt idx="69">
                  <c:v>41061</c:v>
                </c:pt>
                <c:pt idx="70">
                  <c:v>41091</c:v>
                </c:pt>
                <c:pt idx="71">
                  <c:v>41122</c:v>
                </c:pt>
                <c:pt idx="72">
                  <c:v>41153</c:v>
                </c:pt>
                <c:pt idx="73">
                  <c:v>41183</c:v>
                </c:pt>
                <c:pt idx="74">
                  <c:v>41214</c:v>
                </c:pt>
                <c:pt idx="75">
                  <c:v>41244</c:v>
                </c:pt>
                <c:pt idx="76">
                  <c:v>41275</c:v>
                </c:pt>
                <c:pt idx="77">
                  <c:v>41306</c:v>
                </c:pt>
                <c:pt idx="78">
                  <c:v>41334</c:v>
                </c:pt>
                <c:pt idx="79">
                  <c:v>41365</c:v>
                </c:pt>
                <c:pt idx="80">
                  <c:v>41395</c:v>
                </c:pt>
                <c:pt idx="81">
                  <c:v>41426</c:v>
                </c:pt>
                <c:pt idx="82">
                  <c:v>41456</c:v>
                </c:pt>
                <c:pt idx="83">
                  <c:v>41487</c:v>
                </c:pt>
                <c:pt idx="84">
                  <c:v>41518</c:v>
                </c:pt>
                <c:pt idx="85">
                  <c:v>41548</c:v>
                </c:pt>
                <c:pt idx="86">
                  <c:v>41579</c:v>
                </c:pt>
                <c:pt idx="87">
                  <c:v>41609</c:v>
                </c:pt>
                <c:pt idx="88">
                  <c:v>41640</c:v>
                </c:pt>
                <c:pt idx="89">
                  <c:v>41671</c:v>
                </c:pt>
                <c:pt idx="90">
                  <c:v>41699</c:v>
                </c:pt>
                <c:pt idx="91">
                  <c:v>41730</c:v>
                </c:pt>
                <c:pt idx="92">
                  <c:v>41760</c:v>
                </c:pt>
                <c:pt idx="93">
                  <c:v>41791</c:v>
                </c:pt>
                <c:pt idx="94">
                  <c:v>41821</c:v>
                </c:pt>
                <c:pt idx="95">
                  <c:v>41852</c:v>
                </c:pt>
                <c:pt idx="96">
                  <c:v>41883</c:v>
                </c:pt>
                <c:pt idx="97">
                  <c:v>41913</c:v>
                </c:pt>
                <c:pt idx="98">
                  <c:v>41944</c:v>
                </c:pt>
                <c:pt idx="99">
                  <c:v>41974</c:v>
                </c:pt>
                <c:pt idx="100">
                  <c:v>42005</c:v>
                </c:pt>
                <c:pt idx="101">
                  <c:v>42036</c:v>
                </c:pt>
                <c:pt idx="102">
                  <c:v>42064</c:v>
                </c:pt>
                <c:pt idx="103">
                  <c:v>42095</c:v>
                </c:pt>
                <c:pt idx="104">
                  <c:v>42125</c:v>
                </c:pt>
                <c:pt idx="105">
                  <c:v>42156</c:v>
                </c:pt>
                <c:pt idx="106">
                  <c:v>42186</c:v>
                </c:pt>
                <c:pt idx="107">
                  <c:v>42217</c:v>
                </c:pt>
                <c:pt idx="108">
                  <c:v>42248</c:v>
                </c:pt>
                <c:pt idx="109">
                  <c:v>42278</c:v>
                </c:pt>
                <c:pt idx="110">
                  <c:v>42309</c:v>
                </c:pt>
                <c:pt idx="111">
                  <c:v>42339</c:v>
                </c:pt>
                <c:pt idx="112">
                  <c:v>42370</c:v>
                </c:pt>
                <c:pt idx="113">
                  <c:v>42401</c:v>
                </c:pt>
                <c:pt idx="114">
                  <c:v>42430</c:v>
                </c:pt>
                <c:pt idx="115">
                  <c:v>42461</c:v>
                </c:pt>
                <c:pt idx="116">
                  <c:v>42491</c:v>
                </c:pt>
                <c:pt idx="117">
                  <c:v>42522</c:v>
                </c:pt>
                <c:pt idx="118">
                  <c:v>42552</c:v>
                </c:pt>
                <c:pt idx="119">
                  <c:v>42583</c:v>
                </c:pt>
                <c:pt idx="120">
                  <c:v>42614</c:v>
                </c:pt>
                <c:pt idx="121">
                  <c:v>42644</c:v>
                </c:pt>
                <c:pt idx="122">
                  <c:v>42675</c:v>
                </c:pt>
                <c:pt idx="123">
                  <c:v>42705</c:v>
                </c:pt>
                <c:pt idx="124">
                  <c:v>42736</c:v>
                </c:pt>
                <c:pt idx="125">
                  <c:v>42767</c:v>
                </c:pt>
                <c:pt idx="126">
                  <c:v>42795</c:v>
                </c:pt>
                <c:pt idx="127">
                  <c:v>42826</c:v>
                </c:pt>
                <c:pt idx="128">
                  <c:v>42856</c:v>
                </c:pt>
                <c:pt idx="129">
                  <c:v>42887</c:v>
                </c:pt>
                <c:pt idx="130">
                  <c:v>42917</c:v>
                </c:pt>
                <c:pt idx="131">
                  <c:v>42948</c:v>
                </c:pt>
                <c:pt idx="132">
                  <c:v>42979</c:v>
                </c:pt>
                <c:pt idx="133">
                  <c:v>43009</c:v>
                </c:pt>
                <c:pt idx="134">
                  <c:v>43040</c:v>
                </c:pt>
                <c:pt idx="135">
                  <c:v>43070</c:v>
                </c:pt>
                <c:pt idx="136">
                  <c:v>43101</c:v>
                </c:pt>
                <c:pt idx="137">
                  <c:v>43132</c:v>
                </c:pt>
                <c:pt idx="138">
                  <c:v>43160</c:v>
                </c:pt>
                <c:pt idx="139">
                  <c:v>43191</c:v>
                </c:pt>
                <c:pt idx="140">
                  <c:v>43221</c:v>
                </c:pt>
                <c:pt idx="141">
                  <c:v>43252</c:v>
                </c:pt>
                <c:pt idx="142">
                  <c:v>43282</c:v>
                </c:pt>
                <c:pt idx="143">
                  <c:v>43313</c:v>
                </c:pt>
                <c:pt idx="144">
                  <c:v>43344</c:v>
                </c:pt>
                <c:pt idx="145">
                  <c:v>43374</c:v>
                </c:pt>
                <c:pt idx="146">
                  <c:v>43405</c:v>
                </c:pt>
                <c:pt idx="147">
                  <c:v>43435</c:v>
                </c:pt>
                <c:pt idx="148">
                  <c:v>43466</c:v>
                </c:pt>
                <c:pt idx="149">
                  <c:v>43497</c:v>
                </c:pt>
                <c:pt idx="150">
                  <c:v>43525</c:v>
                </c:pt>
                <c:pt idx="151">
                  <c:v>43556</c:v>
                </c:pt>
                <c:pt idx="152">
                  <c:v>43586</c:v>
                </c:pt>
                <c:pt idx="153">
                  <c:v>43617</c:v>
                </c:pt>
                <c:pt idx="154">
                  <c:v>43647</c:v>
                </c:pt>
                <c:pt idx="155">
                  <c:v>43678</c:v>
                </c:pt>
                <c:pt idx="156">
                  <c:v>43709</c:v>
                </c:pt>
                <c:pt idx="157">
                  <c:v>43739</c:v>
                </c:pt>
                <c:pt idx="158">
                  <c:v>43770</c:v>
                </c:pt>
                <c:pt idx="159">
                  <c:v>43800</c:v>
                </c:pt>
                <c:pt idx="160">
                  <c:v>43831</c:v>
                </c:pt>
                <c:pt idx="161">
                  <c:v>43862</c:v>
                </c:pt>
                <c:pt idx="162">
                  <c:v>43891</c:v>
                </c:pt>
                <c:pt idx="163">
                  <c:v>43922</c:v>
                </c:pt>
                <c:pt idx="164">
                  <c:v>43952</c:v>
                </c:pt>
                <c:pt idx="165">
                  <c:v>43983</c:v>
                </c:pt>
                <c:pt idx="166">
                  <c:v>44013</c:v>
                </c:pt>
                <c:pt idx="167">
                  <c:v>44044</c:v>
                </c:pt>
                <c:pt idx="168">
                  <c:v>44075</c:v>
                </c:pt>
                <c:pt idx="169">
                  <c:v>44105</c:v>
                </c:pt>
                <c:pt idx="170">
                  <c:v>44136</c:v>
                </c:pt>
                <c:pt idx="171">
                  <c:v>44166</c:v>
                </c:pt>
                <c:pt idx="172">
                  <c:v>44197</c:v>
                </c:pt>
                <c:pt idx="173">
                  <c:v>44228</c:v>
                </c:pt>
                <c:pt idx="174">
                  <c:v>44256</c:v>
                </c:pt>
                <c:pt idx="175">
                  <c:v>44287</c:v>
                </c:pt>
                <c:pt idx="176">
                  <c:v>44317</c:v>
                </c:pt>
                <c:pt idx="177">
                  <c:v>44348</c:v>
                </c:pt>
              </c:numCache>
            </c:numRef>
          </c:cat>
          <c:val>
            <c:numRef>
              <c:f>'Původní model (M 1)'!$B$3:$B$175</c:f>
              <c:numCache>
                <c:formatCode>0.00</c:formatCode>
                <c:ptCount val="173"/>
                <c:pt idx="0">
                  <c:v>5.783492190346351</c:v>
                </c:pt>
                <c:pt idx="1">
                  <c:v>17.114010328219464</c:v>
                </c:pt>
                <c:pt idx="2">
                  <c:v>11.732535060742876</c:v>
                </c:pt>
                <c:pt idx="3">
                  <c:v>7.6102860250417681</c:v>
                </c:pt>
                <c:pt idx="4">
                  <c:v>12.70290450703695</c:v>
                </c:pt>
                <c:pt idx="5">
                  <c:v>14.282550369545399</c:v>
                </c:pt>
                <c:pt idx="6">
                  <c:v>10.630046341436694</c:v>
                </c:pt>
                <c:pt idx="7">
                  <c:v>16.263946365454519</c:v>
                </c:pt>
                <c:pt idx="8">
                  <c:v>8.8534034059325926</c:v>
                </c:pt>
                <c:pt idx="9">
                  <c:v>10.128758239243641</c:v>
                </c:pt>
                <c:pt idx="10">
                  <c:v>17.789874453289698</c:v>
                </c:pt>
                <c:pt idx="11">
                  <c:v>10.522563276745878</c:v>
                </c:pt>
                <c:pt idx="12">
                  <c:v>6.8060616834059173</c:v>
                </c:pt>
                <c:pt idx="13">
                  <c:v>11.719991091975345</c:v>
                </c:pt>
                <c:pt idx="14">
                  <c:v>7.2904110524954602</c:v>
                </c:pt>
                <c:pt idx="15">
                  <c:v>2.9148643038918953</c:v>
                </c:pt>
                <c:pt idx="16">
                  <c:v>9.1026511819528153</c:v>
                </c:pt>
                <c:pt idx="17">
                  <c:v>10.124970238589604</c:v>
                </c:pt>
                <c:pt idx="18">
                  <c:v>-4.734507139886313</c:v>
                </c:pt>
                <c:pt idx="19">
                  <c:v>13.003754151745618</c:v>
                </c:pt>
                <c:pt idx="20">
                  <c:v>0.54005539823283044</c:v>
                </c:pt>
                <c:pt idx="21">
                  <c:v>2.3104484570826145</c:v>
                </c:pt>
                <c:pt idx="22">
                  <c:v>1.3228332994967174</c:v>
                </c:pt>
                <c:pt idx="23">
                  <c:v>-8.4474301794036144</c:v>
                </c:pt>
                <c:pt idx="24">
                  <c:v>4.7933093390475801</c:v>
                </c:pt>
                <c:pt idx="25">
                  <c:v>-11.684319171461855</c:v>
                </c:pt>
                <c:pt idx="26">
                  <c:v>-17.272983643542016</c:v>
                </c:pt>
                <c:pt idx="27">
                  <c:v>-12.379137388783013</c:v>
                </c:pt>
                <c:pt idx="28">
                  <c:v>-22.060234323971262</c:v>
                </c:pt>
                <c:pt idx="29">
                  <c:v>-18.748648743771657</c:v>
                </c:pt>
                <c:pt idx="30">
                  <c:v>-5.0384091641459072</c:v>
                </c:pt>
                <c:pt idx="31">
                  <c:v>-21.065480777976177</c:v>
                </c:pt>
                <c:pt idx="32">
                  <c:v>-18.766545588869054</c:v>
                </c:pt>
                <c:pt idx="33">
                  <c:v>-13.53724985139687</c:v>
                </c:pt>
                <c:pt idx="34">
                  <c:v>-14.968626417084108</c:v>
                </c:pt>
                <c:pt idx="35">
                  <c:v>-6.5638894963189749</c:v>
                </c:pt>
                <c:pt idx="36">
                  <c:v>-9.6836473367612363</c:v>
                </c:pt>
                <c:pt idx="37">
                  <c:v>-4.8241962180869731</c:v>
                </c:pt>
                <c:pt idx="38">
                  <c:v>4.3765841750193824</c:v>
                </c:pt>
                <c:pt idx="39">
                  <c:v>8.0027487557210222</c:v>
                </c:pt>
                <c:pt idx="40">
                  <c:v>6.4954791569822534</c:v>
                </c:pt>
                <c:pt idx="41">
                  <c:v>6.7419554455445452</c:v>
                </c:pt>
                <c:pt idx="42">
                  <c:v>10.693018368106477</c:v>
                </c:pt>
                <c:pt idx="43">
                  <c:v>14.476485035931951</c:v>
                </c:pt>
                <c:pt idx="44">
                  <c:v>22.725578986591888</c:v>
                </c:pt>
                <c:pt idx="45">
                  <c:v>18.497172746074209</c:v>
                </c:pt>
                <c:pt idx="46">
                  <c:v>13.31497811015614</c:v>
                </c:pt>
                <c:pt idx="47">
                  <c:v>20.050447920323489</c:v>
                </c:pt>
                <c:pt idx="48">
                  <c:v>17.978491314645574</c:v>
                </c:pt>
                <c:pt idx="49">
                  <c:v>12.608562755596786</c:v>
                </c:pt>
                <c:pt idx="50">
                  <c:v>17.100986635903425</c:v>
                </c:pt>
                <c:pt idx="51">
                  <c:v>17.032882178884478</c:v>
                </c:pt>
                <c:pt idx="52">
                  <c:v>23.882624893949277</c:v>
                </c:pt>
                <c:pt idx="53">
                  <c:v>15.173773152845005</c:v>
                </c:pt>
                <c:pt idx="54">
                  <c:v>15.3927167544315</c:v>
                </c:pt>
                <c:pt idx="55">
                  <c:v>9.3014631872265099</c:v>
                </c:pt>
                <c:pt idx="56">
                  <c:v>14.042815973651713</c:v>
                </c:pt>
                <c:pt idx="57">
                  <c:v>6.6631856815478674</c:v>
                </c:pt>
                <c:pt idx="58">
                  <c:v>7.2170477305810721</c:v>
                </c:pt>
                <c:pt idx="59">
                  <c:v>6.8784386778148354</c:v>
                </c:pt>
                <c:pt idx="60">
                  <c:v>6.8359347707614315</c:v>
                </c:pt>
                <c:pt idx="61">
                  <c:v>7.3110348797484015</c:v>
                </c:pt>
                <c:pt idx="62">
                  <c:v>6.2757252553969689</c:v>
                </c:pt>
                <c:pt idx="63">
                  <c:v>5.9016964540204997</c:v>
                </c:pt>
                <c:pt idx="64">
                  <c:v>10.779385126919937</c:v>
                </c:pt>
                <c:pt idx="65">
                  <c:v>15.307370551017009</c:v>
                </c:pt>
                <c:pt idx="66">
                  <c:v>7.0782771150418311</c:v>
                </c:pt>
                <c:pt idx="67">
                  <c:v>8.8424032104844841</c:v>
                </c:pt>
                <c:pt idx="68">
                  <c:v>4.0995812425544287</c:v>
                </c:pt>
                <c:pt idx="69">
                  <c:v>6.3910796845254358</c:v>
                </c:pt>
                <c:pt idx="70">
                  <c:v>10.772654423699235</c:v>
                </c:pt>
                <c:pt idx="71">
                  <c:v>7.1212873544582056</c:v>
                </c:pt>
                <c:pt idx="72">
                  <c:v>-0.54585486015739093</c:v>
                </c:pt>
                <c:pt idx="73">
                  <c:v>8.318832615929427</c:v>
                </c:pt>
                <c:pt idx="74">
                  <c:v>2.8770126813741248</c:v>
                </c:pt>
                <c:pt idx="75">
                  <c:v>-7.4558277469035765</c:v>
                </c:pt>
                <c:pt idx="76">
                  <c:v>-4.8811518371515872</c:v>
                </c:pt>
                <c:pt idx="77">
                  <c:v>-5.8647634014318157</c:v>
                </c:pt>
                <c:pt idx="78">
                  <c:v>-6.657596190399973</c:v>
                </c:pt>
                <c:pt idx="79">
                  <c:v>4.8853799294645617</c:v>
                </c:pt>
                <c:pt idx="80">
                  <c:v>0.30906876238117054</c:v>
                </c:pt>
                <c:pt idx="81">
                  <c:v>-2.1817484662576714</c:v>
                </c:pt>
                <c:pt idx="82">
                  <c:v>3.1143446928507013</c:v>
                </c:pt>
                <c:pt idx="83">
                  <c:v>2.3507598582922284</c:v>
                </c:pt>
                <c:pt idx="84">
                  <c:v>9.2265675345114104</c:v>
                </c:pt>
                <c:pt idx="85">
                  <c:v>5.1482844420108309</c:v>
                </c:pt>
                <c:pt idx="86">
                  <c:v>8.429987368802184</c:v>
                </c:pt>
                <c:pt idx="87">
                  <c:v>15.4785755832741</c:v>
                </c:pt>
                <c:pt idx="88">
                  <c:v>18.213158762303962</c:v>
                </c:pt>
                <c:pt idx="89">
                  <c:v>16.576317558951061</c:v>
                </c:pt>
                <c:pt idx="90">
                  <c:v>17.146678784864822</c:v>
                </c:pt>
                <c:pt idx="91">
                  <c:v>12.734196884592365</c:v>
                </c:pt>
                <c:pt idx="92">
                  <c:v>11.545940900408812</c:v>
                </c:pt>
                <c:pt idx="93">
                  <c:v>16.430820691727742</c:v>
                </c:pt>
                <c:pt idx="94">
                  <c:v>20.336748783441404</c:v>
                </c:pt>
                <c:pt idx="95">
                  <c:v>2.5019524841606078</c:v>
                </c:pt>
                <c:pt idx="96">
                  <c:v>16.128190720821966</c:v>
                </c:pt>
                <c:pt idx="97">
                  <c:v>11.170121113029886</c:v>
                </c:pt>
                <c:pt idx="98">
                  <c:v>4.3048820283981826</c:v>
                </c:pt>
                <c:pt idx="99">
                  <c:v>10.488956048056108</c:v>
                </c:pt>
                <c:pt idx="100">
                  <c:v>1.119512991928362</c:v>
                </c:pt>
                <c:pt idx="101">
                  <c:v>5.0423443957818614</c:v>
                </c:pt>
                <c:pt idx="102">
                  <c:v>8.75302831797522</c:v>
                </c:pt>
                <c:pt idx="103">
                  <c:v>3.7825806961846453</c:v>
                </c:pt>
                <c:pt idx="104">
                  <c:v>0.55554694642885316</c:v>
                </c:pt>
                <c:pt idx="105">
                  <c:v>9.5932276937349403</c:v>
                </c:pt>
                <c:pt idx="106">
                  <c:v>1.1994147747105499</c:v>
                </c:pt>
                <c:pt idx="107">
                  <c:v>2.1329546223033846</c:v>
                </c:pt>
                <c:pt idx="108">
                  <c:v>-7.0158461352365364E-2</c:v>
                </c:pt>
                <c:pt idx="109">
                  <c:v>2.1589002972448812</c:v>
                </c:pt>
                <c:pt idx="110">
                  <c:v>5.6183903697209381</c:v>
                </c:pt>
                <c:pt idx="111">
                  <c:v>3.2827366128337809</c:v>
                </c:pt>
                <c:pt idx="112">
                  <c:v>0.89515074149371099</c:v>
                </c:pt>
                <c:pt idx="113">
                  <c:v>5.690979940696872</c:v>
                </c:pt>
                <c:pt idx="114">
                  <c:v>-1.8676052925578501</c:v>
                </c:pt>
                <c:pt idx="115">
                  <c:v>3.1232650039734855</c:v>
                </c:pt>
                <c:pt idx="116">
                  <c:v>7.7281378343183382</c:v>
                </c:pt>
                <c:pt idx="117">
                  <c:v>0.81100730794043674</c:v>
                </c:pt>
                <c:pt idx="118">
                  <c:v>-16.754241765983679</c:v>
                </c:pt>
                <c:pt idx="119">
                  <c:v>15.930359854504372</c:v>
                </c:pt>
                <c:pt idx="120">
                  <c:v>-0.18295508781152048</c:v>
                </c:pt>
                <c:pt idx="121">
                  <c:v>-3.9902090687489289</c:v>
                </c:pt>
                <c:pt idx="122">
                  <c:v>4.3585336534321728</c:v>
                </c:pt>
                <c:pt idx="123">
                  <c:v>1.0719992807019629</c:v>
                </c:pt>
                <c:pt idx="124">
                  <c:v>12.481841895627998</c:v>
                </c:pt>
                <c:pt idx="125">
                  <c:v>2.0885361615220699</c:v>
                </c:pt>
                <c:pt idx="126">
                  <c:v>15.566383880502844</c:v>
                </c:pt>
                <c:pt idx="127">
                  <c:v>-2.3618500689693955</c:v>
                </c:pt>
                <c:pt idx="128">
                  <c:v>12.239599166002058</c:v>
                </c:pt>
                <c:pt idx="129">
                  <c:v>6.0915200866782815</c:v>
                </c:pt>
                <c:pt idx="130">
                  <c:v>6.3001392880441598</c:v>
                </c:pt>
                <c:pt idx="131">
                  <c:v>5.1739368831485333</c:v>
                </c:pt>
                <c:pt idx="132">
                  <c:v>2.7382688929466159</c:v>
                </c:pt>
                <c:pt idx="133">
                  <c:v>10.987266738304434</c:v>
                </c:pt>
                <c:pt idx="134">
                  <c:v>4.6224020648159447</c:v>
                </c:pt>
                <c:pt idx="135">
                  <c:v>1.6275383532950993</c:v>
                </c:pt>
                <c:pt idx="136">
                  <c:v>4.7072015775148524</c:v>
                </c:pt>
                <c:pt idx="137">
                  <c:v>-0.30113293369460337</c:v>
                </c:pt>
                <c:pt idx="138">
                  <c:v>-7.2963678390110864</c:v>
                </c:pt>
                <c:pt idx="139">
                  <c:v>5.5850680429016197</c:v>
                </c:pt>
                <c:pt idx="140">
                  <c:v>-2.0962844242785383</c:v>
                </c:pt>
                <c:pt idx="141">
                  <c:v>1.1652028493374544</c:v>
                </c:pt>
                <c:pt idx="142">
                  <c:v>10.76956887722309</c:v>
                </c:pt>
                <c:pt idx="143">
                  <c:v>3.578772826669363</c:v>
                </c:pt>
                <c:pt idx="144">
                  <c:v>1.3901442080697102</c:v>
                </c:pt>
                <c:pt idx="145">
                  <c:v>9.8033880286280137</c:v>
                </c:pt>
                <c:pt idx="146">
                  <c:v>9.4676105569331028</c:v>
                </c:pt>
                <c:pt idx="147">
                  <c:v>0.6720221540518212</c:v>
                </c:pt>
                <c:pt idx="148">
                  <c:v>0.96715261913682404</c:v>
                </c:pt>
                <c:pt idx="149">
                  <c:v>5.2829272070575195</c:v>
                </c:pt>
                <c:pt idx="150">
                  <c:v>4.9403540667099843</c:v>
                </c:pt>
                <c:pt idx="151">
                  <c:v>7.4618816325276782</c:v>
                </c:pt>
                <c:pt idx="152">
                  <c:v>7.6208577695907831</c:v>
                </c:pt>
                <c:pt idx="153">
                  <c:v>-4.5370945811657908</c:v>
                </c:pt>
                <c:pt idx="154">
                  <c:v>9.1025818599723696</c:v>
                </c:pt>
                <c:pt idx="155">
                  <c:v>-3.3299894790927542</c:v>
                </c:pt>
                <c:pt idx="156">
                  <c:v>8.794962712631138</c:v>
                </c:pt>
                <c:pt idx="157">
                  <c:v>-1.8381272367867463</c:v>
                </c:pt>
                <c:pt idx="158">
                  <c:v>-5.8735378115660986</c:v>
                </c:pt>
                <c:pt idx="159">
                  <c:v>-1.2651173820251382</c:v>
                </c:pt>
                <c:pt idx="160">
                  <c:v>0.16451905268550782</c:v>
                </c:pt>
                <c:pt idx="161">
                  <c:v>-0.25478729273454848</c:v>
                </c:pt>
                <c:pt idx="162">
                  <c:v>-11.600917459174898</c:v>
                </c:pt>
                <c:pt idx="163">
                  <c:v>-37.958580821395671</c:v>
                </c:pt>
                <c:pt idx="164">
                  <c:v>-28.732482959253414</c:v>
                </c:pt>
                <c:pt idx="165">
                  <c:v>0.57467655854992472</c:v>
                </c:pt>
                <c:pt idx="166">
                  <c:v>0.33659405247572494</c:v>
                </c:pt>
                <c:pt idx="167">
                  <c:v>-5.9196586759229124</c:v>
                </c:pt>
                <c:pt idx="168">
                  <c:v>2.1267033346683784</c:v>
                </c:pt>
                <c:pt idx="169">
                  <c:v>6.3594386175031437</c:v>
                </c:pt>
                <c:pt idx="170">
                  <c:v>8.9113821735616217</c:v>
                </c:pt>
                <c:pt idx="171">
                  <c:v>18.306053582793936</c:v>
                </c:pt>
                <c:pt idx="172">
                  <c:v>-0.61962134251291046</c:v>
                </c:pt>
              </c:numCache>
            </c:numRef>
          </c:val>
          <c:smooth val="0"/>
          <c:extLst>
            <c:ext xmlns:c16="http://schemas.microsoft.com/office/drawing/2014/chart" uri="{C3380CC4-5D6E-409C-BE32-E72D297353CC}">
              <c16:uniqueId val="{00000000-6E72-4A3C-AD83-96AFBAA0D665}"/>
            </c:ext>
          </c:extLst>
        </c:ser>
        <c:ser>
          <c:idx val="1"/>
          <c:order val="1"/>
          <c:tx>
            <c:v>Předpověď růstu exportu</c:v>
          </c:tx>
          <c:spPr>
            <a:ln>
              <a:prstDash val="sysDash"/>
            </a:ln>
          </c:spPr>
          <c:marker>
            <c:symbol val="none"/>
          </c:marker>
          <c:cat>
            <c:numRef>
              <c:f>'Původní model (M 1)'!$A$3:$A$180</c:f>
              <c:numCache>
                <c:formatCode>m/d/yyyy</c:formatCode>
                <c:ptCount val="178"/>
                <c:pt idx="0">
                  <c:v>38961</c:v>
                </c:pt>
                <c:pt idx="1">
                  <c:v>38991</c:v>
                </c:pt>
                <c:pt idx="2">
                  <c:v>39022</c:v>
                </c:pt>
                <c:pt idx="3">
                  <c:v>39052</c:v>
                </c:pt>
                <c:pt idx="4">
                  <c:v>39083</c:v>
                </c:pt>
                <c:pt idx="5">
                  <c:v>39114</c:v>
                </c:pt>
                <c:pt idx="6">
                  <c:v>39142</c:v>
                </c:pt>
                <c:pt idx="7">
                  <c:v>39173</c:v>
                </c:pt>
                <c:pt idx="8">
                  <c:v>39203</c:v>
                </c:pt>
                <c:pt idx="9">
                  <c:v>39234</c:v>
                </c:pt>
                <c:pt idx="10">
                  <c:v>39264</c:v>
                </c:pt>
                <c:pt idx="11">
                  <c:v>39295</c:v>
                </c:pt>
                <c:pt idx="12">
                  <c:v>39326</c:v>
                </c:pt>
                <c:pt idx="13">
                  <c:v>39356</c:v>
                </c:pt>
                <c:pt idx="14">
                  <c:v>39387</c:v>
                </c:pt>
                <c:pt idx="15">
                  <c:v>39417</c:v>
                </c:pt>
                <c:pt idx="16">
                  <c:v>39448</c:v>
                </c:pt>
                <c:pt idx="17">
                  <c:v>39479</c:v>
                </c:pt>
                <c:pt idx="18">
                  <c:v>39508</c:v>
                </c:pt>
                <c:pt idx="19">
                  <c:v>39539</c:v>
                </c:pt>
                <c:pt idx="20">
                  <c:v>39569</c:v>
                </c:pt>
                <c:pt idx="21">
                  <c:v>39600</c:v>
                </c:pt>
                <c:pt idx="22">
                  <c:v>39630</c:v>
                </c:pt>
                <c:pt idx="23">
                  <c:v>39661</c:v>
                </c:pt>
                <c:pt idx="24">
                  <c:v>39692</c:v>
                </c:pt>
                <c:pt idx="25">
                  <c:v>39722</c:v>
                </c:pt>
                <c:pt idx="26">
                  <c:v>39753</c:v>
                </c:pt>
                <c:pt idx="27">
                  <c:v>39783</c:v>
                </c:pt>
                <c:pt idx="28">
                  <c:v>39814</c:v>
                </c:pt>
                <c:pt idx="29">
                  <c:v>39845</c:v>
                </c:pt>
                <c:pt idx="30">
                  <c:v>39873</c:v>
                </c:pt>
                <c:pt idx="31">
                  <c:v>39904</c:v>
                </c:pt>
                <c:pt idx="32">
                  <c:v>39934</c:v>
                </c:pt>
                <c:pt idx="33">
                  <c:v>39965</c:v>
                </c:pt>
                <c:pt idx="34">
                  <c:v>39995</c:v>
                </c:pt>
                <c:pt idx="35">
                  <c:v>40026</c:v>
                </c:pt>
                <c:pt idx="36">
                  <c:v>40057</c:v>
                </c:pt>
                <c:pt idx="37">
                  <c:v>40087</c:v>
                </c:pt>
                <c:pt idx="38">
                  <c:v>40118</c:v>
                </c:pt>
                <c:pt idx="39">
                  <c:v>40148</c:v>
                </c:pt>
                <c:pt idx="40">
                  <c:v>40179</c:v>
                </c:pt>
                <c:pt idx="41">
                  <c:v>40210</c:v>
                </c:pt>
                <c:pt idx="42">
                  <c:v>40238</c:v>
                </c:pt>
                <c:pt idx="43">
                  <c:v>40269</c:v>
                </c:pt>
                <c:pt idx="44">
                  <c:v>40299</c:v>
                </c:pt>
                <c:pt idx="45">
                  <c:v>40330</c:v>
                </c:pt>
                <c:pt idx="46">
                  <c:v>40360</c:v>
                </c:pt>
                <c:pt idx="47">
                  <c:v>40391</c:v>
                </c:pt>
                <c:pt idx="48">
                  <c:v>40422</c:v>
                </c:pt>
                <c:pt idx="49">
                  <c:v>40452</c:v>
                </c:pt>
                <c:pt idx="50">
                  <c:v>40483</c:v>
                </c:pt>
                <c:pt idx="51">
                  <c:v>40513</c:v>
                </c:pt>
                <c:pt idx="52">
                  <c:v>40544</c:v>
                </c:pt>
                <c:pt idx="53">
                  <c:v>40575</c:v>
                </c:pt>
                <c:pt idx="54">
                  <c:v>40603</c:v>
                </c:pt>
                <c:pt idx="55">
                  <c:v>40634</c:v>
                </c:pt>
                <c:pt idx="56">
                  <c:v>40664</c:v>
                </c:pt>
                <c:pt idx="57">
                  <c:v>40695</c:v>
                </c:pt>
                <c:pt idx="58">
                  <c:v>40725</c:v>
                </c:pt>
                <c:pt idx="59">
                  <c:v>40756</c:v>
                </c:pt>
                <c:pt idx="60">
                  <c:v>40787</c:v>
                </c:pt>
                <c:pt idx="61">
                  <c:v>40817</c:v>
                </c:pt>
                <c:pt idx="62">
                  <c:v>40848</c:v>
                </c:pt>
                <c:pt idx="63">
                  <c:v>40878</c:v>
                </c:pt>
                <c:pt idx="64">
                  <c:v>40909</c:v>
                </c:pt>
                <c:pt idx="65">
                  <c:v>40940</c:v>
                </c:pt>
                <c:pt idx="66">
                  <c:v>40969</c:v>
                </c:pt>
                <c:pt idx="67">
                  <c:v>41000</c:v>
                </c:pt>
                <c:pt idx="68">
                  <c:v>41030</c:v>
                </c:pt>
                <c:pt idx="69">
                  <c:v>41061</c:v>
                </c:pt>
                <c:pt idx="70">
                  <c:v>41091</c:v>
                </c:pt>
                <c:pt idx="71">
                  <c:v>41122</c:v>
                </c:pt>
                <c:pt idx="72">
                  <c:v>41153</c:v>
                </c:pt>
                <c:pt idx="73">
                  <c:v>41183</c:v>
                </c:pt>
                <c:pt idx="74">
                  <c:v>41214</c:v>
                </c:pt>
                <c:pt idx="75">
                  <c:v>41244</c:v>
                </c:pt>
                <c:pt idx="76">
                  <c:v>41275</c:v>
                </c:pt>
                <c:pt idx="77">
                  <c:v>41306</c:v>
                </c:pt>
                <c:pt idx="78">
                  <c:v>41334</c:v>
                </c:pt>
                <c:pt idx="79">
                  <c:v>41365</c:v>
                </c:pt>
                <c:pt idx="80">
                  <c:v>41395</c:v>
                </c:pt>
                <c:pt idx="81">
                  <c:v>41426</c:v>
                </c:pt>
                <c:pt idx="82">
                  <c:v>41456</c:v>
                </c:pt>
                <c:pt idx="83">
                  <c:v>41487</c:v>
                </c:pt>
                <c:pt idx="84">
                  <c:v>41518</c:v>
                </c:pt>
                <c:pt idx="85">
                  <c:v>41548</c:v>
                </c:pt>
                <c:pt idx="86">
                  <c:v>41579</c:v>
                </c:pt>
                <c:pt idx="87">
                  <c:v>41609</c:v>
                </c:pt>
                <c:pt idx="88">
                  <c:v>41640</c:v>
                </c:pt>
                <c:pt idx="89">
                  <c:v>41671</c:v>
                </c:pt>
                <c:pt idx="90">
                  <c:v>41699</c:v>
                </c:pt>
                <c:pt idx="91">
                  <c:v>41730</c:v>
                </c:pt>
                <c:pt idx="92">
                  <c:v>41760</c:v>
                </c:pt>
                <c:pt idx="93">
                  <c:v>41791</c:v>
                </c:pt>
                <c:pt idx="94">
                  <c:v>41821</c:v>
                </c:pt>
                <c:pt idx="95">
                  <c:v>41852</c:v>
                </c:pt>
                <c:pt idx="96">
                  <c:v>41883</c:v>
                </c:pt>
                <c:pt idx="97">
                  <c:v>41913</c:v>
                </c:pt>
                <c:pt idx="98">
                  <c:v>41944</c:v>
                </c:pt>
                <c:pt idx="99">
                  <c:v>41974</c:v>
                </c:pt>
                <c:pt idx="100">
                  <c:v>42005</c:v>
                </c:pt>
                <c:pt idx="101">
                  <c:v>42036</c:v>
                </c:pt>
                <c:pt idx="102">
                  <c:v>42064</c:v>
                </c:pt>
                <c:pt idx="103">
                  <c:v>42095</c:v>
                </c:pt>
                <c:pt idx="104">
                  <c:v>42125</c:v>
                </c:pt>
                <c:pt idx="105">
                  <c:v>42156</c:v>
                </c:pt>
                <c:pt idx="106">
                  <c:v>42186</c:v>
                </c:pt>
                <c:pt idx="107">
                  <c:v>42217</c:v>
                </c:pt>
                <c:pt idx="108">
                  <c:v>42248</c:v>
                </c:pt>
                <c:pt idx="109">
                  <c:v>42278</c:v>
                </c:pt>
                <c:pt idx="110">
                  <c:v>42309</c:v>
                </c:pt>
                <c:pt idx="111">
                  <c:v>42339</c:v>
                </c:pt>
                <c:pt idx="112">
                  <c:v>42370</c:v>
                </c:pt>
                <c:pt idx="113">
                  <c:v>42401</c:v>
                </c:pt>
                <c:pt idx="114">
                  <c:v>42430</c:v>
                </c:pt>
                <c:pt idx="115">
                  <c:v>42461</c:v>
                </c:pt>
                <c:pt idx="116">
                  <c:v>42491</c:v>
                </c:pt>
                <c:pt idx="117">
                  <c:v>42522</c:v>
                </c:pt>
                <c:pt idx="118">
                  <c:v>42552</c:v>
                </c:pt>
                <c:pt idx="119">
                  <c:v>42583</c:v>
                </c:pt>
                <c:pt idx="120">
                  <c:v>42614</c:v>
                </c:pt>
                <c:pt idx="121">
                  <c:v>42644</c:v>
                </c:pt>
                <c:pt idx="122">
                  <c:v>42675</c:v>
                </c:pt>
                <c:pt idx="123">
                  <c:v>42705</c:v>
                </c:pt>
                <c:pt idx="124">
                  <c:v>42736</c:v>
                </c:pt>
                <c:pt idx="125">
                  <c:v>42767</c:v>
                </c:pt>
                <c:pt idx="126">
                  <c:v>42795</c:v>
                </c:pt>
                <c:pt idx="127">
                  <c:v>42826</c:v>
                </c:pt>
                <c:pt idx="128">
                  <c:v>42856</c:v>
                </c:pt>
                <c:pt idx="129">
                  <c:v>42887</c:v>
                </c:pt>
                <c:pt idx="130">
                  <c:v>42917</c:v>
                </c:pt>
                <c:pt idx="131">
                  <c:v>42948</c:v>
                </c:pt>
                <c:pt idx="132">
                  <c:v>42979</c:v>
                </c:pt>
                <c:pt idx="133">
                  <c:v>43009</c:v>
                </c:pt>
                <c:pt idx="134">
                  <c:v>43040</c:v>
                </c:pt>
                <c:pt idx="135">
                  <c:v>43070</c:v>
                </c:pt>
                <c:pt idx="136">
                  <c:v>43101</c:v>
                </c:pt>
                <c:pt idx="137">
                  <c:v>43132</c:v>
                </c:pt>
                <c:pt idx="138">
                  <c:v>43160</c:v>
                </c:pt>
                <c:pt idx="139">
                  <c:v>43191</c:v>
                </c:pt>
                <c:pt idx="140">
                  <c:v>43221</c:v>
                </c:pt>
                <c:pt idx="141">
                  <c:v>43252</c:v>
                </c:pt>
                <c:pt idx="142">
                  <c:v>43282</c:v>
                </c:pt>
                <c:pt idx="143">
                  <c:v>43313</c:v>
                </c:pt>
                <c:pt idx="144">
                  <c:v>43344</c:v>
                </c:pt>
                <c:pt idx="145">
                  <c:v>43374</c:v>
                </c:pt>
                <c:pt idx="146">
                  <c:v>43405</c:v>
                </c:pt>
                <c:pt idx="147">
                  <c:v>43435</c:v>
                </c:pt>
                <c:pt idx="148">
                  <c:v>43466</c:v>
                </c:pt>
                <c:pt idx="149">
                  <c:v>43497</c:v>
                </c:pt>
                <c:pt idx="150">
                  <c:v>43525</c:v>
                </c:pt>
                <c:pt idx="151">
                  <c:v>43556</c:v>
                </c:pt>
                <c:pt idx="152">
                  <c:v>43586</c:v>
                </c:pt>
                <c:pt idx="153">
                  <c:v>43617</c:v>
                </c:pt>
                <c:pt idx="154">
                  <c:v>43647</c:v>
                </c:pt>
                <c:pt idx="155">
                  <c:v>43678</c:v>
                </c:pt>
                <c:pt idx="156">
                  <c:v>43709</c:v>
                </c:pt>
                <c:pt idx="157">
                  <c:v>43739</c:v>
                </c:pt>
                <c:pt idx="158">
                  <c:v>43770</c:v>
                </c:pt>
                <c:pt idx="159">
                  <c:v>43800</c:v>
                </c:pt>
                <c:pt idx="160">
                  <c:v>43831</c:v>
                </c:pt>
                <c:pt idx="161">
                  <c:v>43862</c:v>
                </c:pt>
                <c:pt idx="162">
                  <c:v>43891</c:v>
                </c:pt>
                <c:pt idx="163">
                  <c:v>43922</c:v>
                </c:pt>
                <c:pt idx="164">
                  <c:v>43952</c:v>
                </c:pt>
                <c:pt idx="165">
                  <c:v>43983</c:v>
                </c:pt>
                <c:pt idx="166">
                  <c:v>44013</c:v>
                </c:pt>
                <c:pt idx="167">
                  <c:v>44044</c:v>
                </c:pt>
                <c:pt idx="168">
                  <c:v>44075</c:v>
                </c:pt>
                <c:pt idx="169">
                  <c:v>44105</c:v>
                </c:pt>
                <c:pt idx="170">
                  <c:v>44136</c:v>
                </c:pt>
                <c:pt idx="171">
                  <c:v>44166</c:v>
                </c:pt>
                <c:pt idx="172">
                  <c:v>44197</c:v>
                </c:pt>
                <c:pt idx="173">
                  <c:v>44228</c:v>
                </c:pt>
                <c:pt idx="174">
                  <c:v>44256</c:v>
                </c:pt>
                <c:pt idx="175">
                  <c:v>44287</c:v>
                </c:pt>
                <c:pt idx="176">
                  <c:v>44317</c:v>
                </c:pt>
                <c:pt idx="177">
                  <c:v>44348</c:v>
                </c:pt>
              </c:numCache>
            </c:numRef>
          </c:cat>
          <c:val>
            <c:numRef>
              <c:f>'Původní model (M 1)'!$C$3:$C$180</c:f>
              <c:numCache>
                <c:formatCode>General</c:formatCode>
                <c:ptCount val="178"/>
                <c:pt idx="172" formatCode="0.00">
                  <c:v>-0.61962134251291046</c:v>
                </c:pt>
                <c:pt idx="173" formatCode="0.00">
                  <c:v>1.4407076369379936</c:v>
                </c:pt>
                <c:pt idx="174" formatCode="0.00">
                  <c:v>8.5714778592175609</c:v>
                </c:pt>
                <c:pt idx="175" formatCode="0.00">
                  <c:v>10.216235947863099</c:v>
                </c:pt>
                <c:pt idx="176" formatCode="0.00">
                  <c:v>11.9531800761412</c:v>
                </c:pt>
                <c:pt idx="177" formatCode="0.00">
                  <c:v>9.467864232692472</c:v>
                </c:pt>
              </c:numCache>
            </c:numRef>
          </c:val>
          <c:smooth val="0"/>
          <c:extLst>
            <c:ext xmlns:c16="http://schemas.microsoft.com/office/drawing/2014/chart" uri="{C3380CC4-5D6E-409C-BE32-E72D297353CC}">
              <c16:uniqueId val="{00000001-6E72-4A3C-AD83-96AFBAA0D665}"/>
            </c:ext>
          </c:extLst>
        </c:ser>
        <c:ser>
          <c:idx val="3"/>
          <c:order val="2"/>
          <c:tx>
            <c:v>Předpověď růstu exportu s trhem práce (sezónně očištěno)</c:v>
          </c:tx>
          <c:spPr>
            <a:ln>
              <a:solidFill>
                <a:srgbClr val="4F81BD"/>
              </a:solidFill>
              <a:prstDash val="sysDash"/>
            </a:ln>
          </c:spPr>
          <c:marker>
            <c:symbol val="none"/>
          </c:marker>
          <c:cat>
            <c:numRef>
              <c:f>'Původní model (M 1)'!$A$3:$A$180</c:f>
              <c:numCache>
                <c:formatCode>m/d/yyyy</c:formatCode>
                <c:ptCount val="178"/>
                <c:pt idx="0">
                  <c:v>38961</c:v>
                </c:pt>
                <c:pt idx="1">
                  <c:v>38991</c:v>
                </c:pt>
                <c:pt idx="2">
                  <c:v>39022</c:v>
                </c:pt>
                <c:pt idx="3">
                  <c:v>39052</c:v>
                </c:pt>
                <c:pt idx="4">
                  <c:v>39083</c:v>
                </c:pt>
                <c:pt idx="5">
                  <c:v>39114</c:v>
                </c:pt>
                <c:pt idx="6">
                  <c:v>39142</c:v>
                </c:pt>
                <c:pt idx="7">
                  <c:v>39173</c:v>
                </c:pt>
                <c:pt idx="8">
                  <c:v>39203</c:v>
                </c:pt>
                <c:pt idx="9">
                  <c:v>39234</c:v>
                </c:pt>
                <c:pt idx="10">
                  <c:v>39264</c:v>
                </c:pt>
                <c:pt idx="11">
                  <c:v>39295</c:v>
                </c:pt>
                <c:pt idx="12">
                  <c:v>39326</c:v>
                </c:pt>
                <c:pt idx="13">
                  <c:v>39356</c:v>
                </c:pt>
                <c:pt idx="14">
                  <c:v>39387</c:v>
                </c:pt>
                <c:pt idx="15">
                  <c:v>39417</c:v>
                </c:pt>
                <c:pt idx="16">
                  <c:v>39448</c:v>
                </c:pt>
                <c:pt idx="17">
                  <c:v>39479</c:v>
                </c:pt>
                <c:pt idx="18">
                  <c:v>39508</c:v>
                </c:pt>
                <c:pt idx="19">
                  <c:v>39539</c:v>
                </c:pt>
                <c:pt idx="20">
                  <c:v>39569</c:v>
                </c:pt>
                <c:pt idx="21">
                  <c:v>39600</c:v>
                </c:pt>
                <c:pt idx="22">
                  <c:v>39630</c:v>
                </c:pt>
                <c:pt idx="23">
                  <c:v>39661</c:v>
                </c:pt>
                <c:pt idx="24">
                  <c:v>39692</c:v>
                </c:pt>
                <c:pt idx="25">
                  <c:v>39722</c:v>
                </c:pt>
                <c:pt idx="26">
                  <c:v>39753</c:v>
                </c:pt>
                <c:pt idx="27">
                  <c:v>39783</c:v>
                </c:pt>
                <c:pt idx="28">
                  <c:v>39814</c:v>
                </c:pt>
                <c:pt idx="29">
                  <c:v>39845</c:v>
                </c:pt>
                <c:pt idx="30">
                  <c:v>39873</c:v>
                </c:pt>
                <c:pt idx="31">
                  <c:v>39904</c:v>
                </c:pt>
                <c:pt idx="32">
                  <c:v>39934</c:v>
                </c:pt>
                <c:pt idx="33">
                  <c:v>39965</c:v>
                </c:pt>
                <c:pt idx="34">
                  <c:v>39995</c:v>
                </c:pt>
                <c:pt idx="35">
                  <c:v>40026</c:v>
                </c:pt>
                <c:pt idx="36">
                  <c:v>40057</c:v>
                </c:pt>
                <c:pt idx="37">
                  <c:v>40087</c:v>
                </c:pt>
                <c:pt idx="38">
                  <c:v>40118</c:v>
                </c:pt>
                <c:pt idx="39">
                  <c:v>40148</c:v>
                </c:pt>
                <c:pt idx="40">
                  <c:v>40179</c:v>
                </c:pt>
                <c:pt idx="41">
                  <c:v>40210</c:v>
                </c:pt>
                <c:pt idx="42">
                  <c:v>40238</c:v>
                </c:pt>
                <c:pt idx="43">
                  <c:v>40269</c:v>
                </c:pt>
                <c:pt idx="44">
                  <c:v>40299</c:v>
                </c:pt>
                <c:pt idx="45">
                  <c:v>40330</c:v>
                </c:pt>
                <c:pt idx="46">
                  <c:v>40360</c:v>
                </c:pt>
                <c:pt idx="47">
                  <c:v>40391</c:v>
                </c:pt>
                <c:pt idx="48">
                  <c:v>40422</c:v>
                </c:pt>
                <c:pt idx="49">
                  <c:v>40452</c:v>
                </c:pt>
                <c:pt idx="50">
                  <c:v>40483</c:v>
                </c:pt>
                <c:pt idx="51">
                  <c:v>40513</c:v>
                </c:pt>
                <c:pt idx="52">
                  <c:v>40544</c:v>
                </c:pt>
                <c:pt idx="53">
                  <c:v>40575</c:v>
                </c:pt>
                <c:pt idx="54">
                  <c:v>40603</c:v>
                </c:pt>
                <c:pt idx="55">
                  <c:v>40634</c:v>
                </c:pt>
                <c:pt idx="56">
                  <c:v>40664</c:v>
                </c:pt>
                <c:pt idx="57">
                  <c:v>40695</c:v>
                </c:pt>
                <c:pt idx="58">
                  <c:v>40725</c:v>
                </c:pt>
                <c:pt idx="59">
                  <c:v>40756</c:v>
                </c:pt>
                <c:pt idx="60">
                  <c:v>40787</c:v>
                </c:pt>
                <c:pt idx="61">
                  <c:v>40817</c:v>
                </c:pt>
                <c:pt idx="62">
                  <c:v>40848</c:v>
                </c:pt>
                <c:pt idx="63">
                  <c:v>40878</c:v>
                </c:pt>
                <c:pt idx="64">
                  <c:v>40909</c:v>
                </c:pt>
                <c:pt idx="65">
                  <c:v>40940</c:v>
                </c:pt>
                <c:pt idx="66">
                  <c:v>40969</c:v>
                </c:pt>
                <c:pt idx="67">
                  <c:v>41000</c:v>
                </c:pt>
                <c:pt idx="68">
                  <c:v>41030</c:v>
                </c:pt>
                <c:pt idx="69">
                  <c:v>41061</c:v>
                </c:pt>
                <c:pt idx="70">
                  <c:v>41091</c:v>
                </c:pt>
                <c:pt idx="71">
                  <c:v>41122</c:v>
                </c:pt>
                <c:pt idx="72">
                  <c:v>41153</c:v>
                </c:pt>
                <c:pt idx="73">
                  <c:v>41183</c:v>
                </c:pt>
                <c:pt idx="74">
                  <c:v>41214</c:v>
                </c:pt>
                <c:pt idx="75">
                  <c:v>41244</c:v>
                </c:pt>
                <c:pt idx="76">
                  <c:v>41275</c:v>
                </c:pt>
                <c:pt idx="77">
                  <c:v>41306</c:v>
                </c:pt>
                <c:pt idx="78">
                  <c:v>41334</c:v>
                </c:pt>
                <c:pt idx="79">
                  <c:v>41365</c:v>
                </c:pt>
                <c:pt idx="80">
                  <c:v>41395</c:v>
                </c:pt>
                <c:pt idx="81">
                  <c:v>41426</c:v>
                </c:pt>
                <c:pt idx="82">
                  <c:v>41456</c:v>
                </c:pt>
                <c:pt idx="83">
                  <c:v>41487</c:v>
                </c:pt>
                <c:pt idx="84">
                  <c:v>41518</c:v>
                </c:pt>
                <c:pt idx="85">
                  <c:v>41548</c:v>
                </c:pt>
                <c:pt idx="86">
                  <c:v>41579</c:v>
                </c:pt>
                <c:pt idx="87">
                  <c:v>41609</c:v>
                </c:pt>
                <c:pt idx="88">
                  <c:v>41640</c:v>
                </c:pt>
                <c:pt idx="89">
                  <c:v>41671</c:v>
                </c:pt>
                <c:pt idx="90">
                  <c:v>41699</c:v>
                </c:pt>
                <c:pt idx="91">
                  <c:v>41730</c:v>
                </c:pt>
                <c:pt idx="92">
                  <c:v>41760</c:v>
                </c:pt>
                <c:pt idx="93">
                  <c:v>41791</c:v>
                </c:pt>
                <c:pt idx="94">
                  <c:v>41821</c:v>
                </c:pt>
                <c:pt idx="95">
                  <c:v>41852</c:v>
                </c:pt>
                <c:pt idx="96">
                  <c:v>41883</c:v>
                </c:pt>
                <c:pt idx="97">
                  <c:v>41913</c:v>
                </c:pt>
                <c:pt idx="98">
                  <c:v>41944</c:v>
                </c:pt>
                <c:pt idx="99">
                  <c:v>41974</c:v>
                </c:pt>
                <c:pt idx="100">
                  <c:v>42005</c:v>
                </c:pt>
                <c:pt idx="101">
                  <c:v>42036</c:v>
                </c:pt>
                <c:pt idx="102">
                  <c:v>42064</c:v>
                </c:pt>
                <c:pt idx="103">
                  <c:v>42095</c:v>
                </c:pt>
                <c:pt idx="104">
                  <c:v>42125</c:v>
                </c:pt>
                <c:pt idx="105">
                  <c:v>42156</c:v>
                </c:pt>
                <c:pt idx="106">
                  <c:v>42186</c:v>
                </c:pt>
                <c:pt idx="107">
                  <c:v>42217</c:v>
                </c:pt>
                <c:pt idx="108">
                  <c:v>42248</c:v>
                </c:pt>
                <c:pt idx="109">
                  <c:v>42278</c:v>
                </c:pt>
                <c:pt idx="110">
                  <c:v>42309</c:v>
                </c:pt>
                <c:pt idx="111">
                  <c:v>42339</c:v>
                </c:pt>
                <c:pt idx="112">
                  <c:v>42370</c:v>
                </c:pt>
                <c:pt idx="113">
                  <c:v>42401</c:v>
                </c:pt>
                <c:pt idx="114">
                  <c:v>42430</c:v>
                </c:pt>
                <c:pt idx="115">
                  <c:v>42461</c:v>
                </c:pt>
                <c:pt idx="116">
                  <c:v>42491</c:v>
                </c:pt>
                <c:pt idx="117">
                  <c:v>42522</c:v>
                </c:pt>
                <c:pt idx="118">
                  <c:v>42552</c:v>
                </c:pt>
                <c:pt idx="119">
                  <c:v>42583</c:v>
                </c:pt>
                <c:pt idx="120">
                  <c:v>42614</c:v>
                </c:pt>
                <c:pt idx="121">
                  <c:v>42644</c:v>
                </c:pt>
                <c:pt idx="122">
                  <c:v>42675</c:v>
                </c:pt>
                <c:pt idx="123">
                  <c:v>42705</c:v>
                </c:pt>
                <c:pt idx="124">
                  <c:v>42736</c:v>
                </c:pt>
                <c:pt idx="125">
                  <c:v>42767</c:v>
                </c:pt>
                <c:pt idx="126">
                  <c:v>42795</c:v>
                </c:pt>
                <c:pt idx="127">
                  <c:v>42826</c:v>
                </c:pt>
                <c:pt idx="128">
                  <c:v>42856</c:v>
                </c:pt>
                <c:pt idx="129">
                  <c:v>42887</c:v>
                </c:pt>
                <c:pt idx="130">
                  <c:v>42917</c:v>
                </c:pt>
                <c:pt idx="131">
                  <c:v>42948</c:v>
                </c:pt>
                <c:pt idx="132">
                  <c:v>42979</c:v>
                </c:pt>
                <c:pt idx="133">
                  <c:v>43009</c:v>
                </c:pt>
                <c:pt idx="134">
                  <c:v>43040</c:v>
                </c:pt>
                <c:pt idx="135">
                  <c:v>43070</c:v>
                </c:pt>
                <c:pt idx="136">
                  <c:v>43101</c:v>
                </c:pt>
                <c:pt idx="137">
                  <c:v>43132</c:v>
                </c:pt>
                <c:pt idx="138">
                  <c:v>43160</c:v>
                </c:pt>
                <c:pt idx="139">
                  <c:v>43191</c:v>
                </c:pt>
                <c:pt idx="140">
                  <c:v>43221</c:v>
                </c:pt>
                <c:pt idx="141">
                  <c:v>43252</c:v>
                </c:pt>
                <c:pt idx="142">
                  <c:v>43282</c:v>
                </c:pt>
                <c:pt idx="143">
                  <c:v>43313</c:v>
                </c:pt>
                <c:pt idx="144">
                  <c:v>43344</c:v>
                </c:pt>
                <c:pt idx="145">
                  <c:v>43374</c:v>
                </c:pt>
                <c:pt idx="146">
                  <c:v>43405</c:v>
                </c:pt>
                <c:pt idx="147">
                  <c:v>43435</c:v>
                </c:pt>
                <c:pt idx="148">
                  <c:v>43466</c:v>
                </c:pt>
                <c:pt idx="149">
                  <c:v>43497</c:v>
                </c:pt>
                <c:pt idx="150">
                  <c:v>43525</c:v>
                </c:pt>
                <c:pt idx="151">
                  <c:v>43556</c:v>
                </c:pt>
                <c:pt idx="152">
                  <c:v>43586</c:v>
                </c:pt>
                <c:pt idx="153">
                  <c:v>43617</c:v>
                </c:pt>
                <c:pt idx="154">
                  <c:v>43647</c:v>
                </c:pt>
                <c:pt idx="155">
                  <c:v>43678</c:v>
                </c:pt>
                <c:pt idx="156">
                  <c:v>43709</c:v>
                </c:pt>
                <c:pt idx="157">
                  <c:v>43739</c:v>
                </c:pt>
                <c:pt idx="158">
                  <c:v>43770</c:v>
                </c:pt>
                <c:pt idx="159">
                  <c:v>43800</c:v>
                </c:pt>
                <c:pt idx="160">
                  <c:v>43831</c:v>
                </c:pt>
                <c:pt idx="161">
                  <c:v>43862</c:v>
                </c:pt>
                <c:pt idx="162">
                  <c:v>43891</c:v>
                </c:pt>
                <c:pt idx="163">
                  <c:v>43922</c:v>
                </c:pt>
                <c:pt idx="164">
                  <c:v>43952</c:v>
                </c:pt>
                <c:pt idx="165">
                  <c:v>43983</c:v>
                </c:pt>
                <c:pt idx="166">
                  <c:v>44013</c:v>
                </c:pt>
                <c:pt idx="167">
                  <c:v>44044</c:v>
                </c:pt>
                <c:pt idx="168">
                  <c:v>44075</c:v>
                </c:pt>
                <c:pt idx="169">
                  <c:v>44105</c:v>
                </c:pt>
                <c:pt idx="170">
                  <c:v>44136</c:v>
                </c:pt>
                <c:pt idx="171">
                  <c:v>44166</c:v>
                </c:pt>
                <c:pt idx="172">
                  <c:v>44197</c:v>
                </c:pt>
                <c:pt idx="173">
                  <c:v>44228</c:v>
                </c:pt>
                <c:pt idx="174">
                  <c:v>44256</c:v>
                </c:pt>
                <c:pt idx="175">
                  <c:v>44287</c:v>
                </c:pt>
                <c:pt idx="176">
                  <c:v>44317</c:v>
                </c:pt>
                <c:pt idx="177">
                  <c:v>44348</c:v>
                </c:pt>
              </c:numCache>
            </c:numRef>
          </c:cat>
          <c:val>
            <c:numRef>
              <c:f>'Model s trhem prác a IFO (M 3a)'!$C$3:$C$180</c:f>
              <c:numCache>
                <c:formatCode>General</c:formatCode>
                <c:ptCount val="178"/>
                <c:pt idx="172" formatCode="0.00">
                  <c:v>-0.61962134251291046</c:v>
                </c:pt>
                <c:pt idx="173" formatCode="0.00">
                  <c:v>2.1959325271587593</c:v>
                </c:pt>
                <c:pt idx="174" formatCode="0.00">
                  <c:v>10.8242130223699</c:v>
                </c:pt>
                <c:pt idx="175" formatCode="0.00">
                  <c:v>11.5995463454984</c:v>
                </c:pt>
                <c:pt idx="176" formatCode="0.00">
                  <c:v>12.2018518403782</c:v>
                </c:pt>
                <c:pt idx="177" formatCode="0.00">
                  <c:v>9.3558494778198025</c:v>
                </c:pt>
              </c:numCache>
            </c:numRef>
          </c:val>
          <c:smooth val="0"/>
          <c:extLst>
            <c:ext xmlns:c16="http://schemas.microsoft.com/office/drawing/2014/chart" uri="{C3380CC4-5D6E-409C-BE32-E72D297353CC}">
              <c16:uniqueId val="{00000002-6E72-4A3C-AD83-96AFBAA0D665}"/>
            </c:ext>
          </c:extLst>
        </c:ser>
        <c:dLbls>
          <c:showLegendKey val="0"/>
          <c:showVal val="0"/>
          <c:showCatName val="0"/>
          <c:showSerName val="0"/>
          <c:showPercent val="0"/>
          <c:showBubbleSize val="0"/>
        </c:dLbls>
        <c:smooth val="0"/>
        <c:axId val="55252480"/>
        <c:axId val="55254400"/>
        <c:extLst>
          <c:ext xmlns:c15="http://schemas.microsoft.com/office/drawing/2012/chart" uri="{02D57815-91ED-43cb-92C2-25804820EDAC}">
            <c15:filteredLineSeries>
              <c15:ser>
                <c:idx val="2"/>
                <c:order val="3"/>
                <c:tx>
                  <c:v>IFO</c:v>
                </c:tx>
                <c:marker>
                  <c:symbol val="none"/>
                </c:marker>
                <c:cat>
                  <c:numRef>
                    <c:extLst>
                      <c:ext uri="{02D57815-91ED-43cb-92C2-25804820EDAC}">
                        <c15:formulaRef>
                          <c15:sqref>'Původní model (M 1)'!$A$3:$A$180</c15:sqref>
                        </c15:formulaRef>
                      </c:ext>
                    </c:extLst>
                    <c:numCache>
                      <c:formatCode>m/d/yyyy</c:formatCode>
                      <c:ptCount val="178"/>
                      <c:pt idx="0">
                        <c:v>38961</c:v>
                      </c:pt>
                      <c:pt idx="1">
                        <c:v>38991</c:v>
                      </c:pt>
                      <c:pt idx="2">
                        <c:v>39022</c:v>
                      </c:pt>
                      <c:pt idx="3">
                        <c:v>39052</c:v>
                      </c:pt>
                      <c:pt idx="4">
                        <c:v>39083</c:v>
                      </c:pt>
                      <c:pt idx="5">
                        <c:v>39114</c:v>
                      </c:pt>
                      <c:pt idx="6">
                        <c:v>39142</c:v>
                      </c:pt>
                      <c:pt idx="7">
                        <c:v>39173</c:v>
                      </c:pt>
                      <c:pt idx="8">
                        <c:v>39203</c:v>
                      </c:pt>
                      <c:pt idx="9">
                        <c:v>39234</c:v>
                      </c:pt>
                      <c:pt idx="10">
                        <c:v>39264</c:v>
                      </c:pt>
                      <c:pt idx="11">
                        <c:v>39295</c:v>
                      </c:pt>
                      <c:pt idx="12">
                        <c:v>39326</c:v>
                      </c:pt>
                      <c:pt idx="13">
                        <c:v>39356</c:v>
                      </c:pt>
                      <c:pt idx="14">
                        <c:v>39387</c:v>
                      </c:pt>
                      <c:pt idx="15">
                        <c:v>39417</c:v>
                      </c:pt>
                      <c:pt idx="16">
                        <c:v>39448</c:v>
                      </c:pt>
                      <c:pt idx="17">
                        <c:v>39479</c:v>
                      </c:pt>
                      <c:pt idx="18">
                        <c:v>39508</c:v>
                      </c:pt>
                      <c:pt idx="19">
                        <c:v>39539</c:v>
                      </c:pt>
                      <c:pt idx="20">
                        <c:v>39569</c:v>
                      </c:pt>
                      <c:pt idx="21">
                        <c:v>39600</c:v>
                      </c:pt>
                      <c:pt idx="22">
                        <c:v>39630</c:v>
                      </c:pt>
                      <c:pt idx="23">
                        <c:v>39661</c:v>
                      </c:pt>
                      <c:pt idx="24">
                        <c:v>39692</c:v>
                      </c:pt>
                      <c:pt idx="25">
                        <c:v>39722</c:v>
                      </c:pt>
                      <c:pt idx="26">
                        <c:v>39753</c:v>
                      </c:pt>
                      <c:pt idx="27">
                        <c:v>39783</c:v>
                      </c:pt>
                      <c:pt idx="28">
                        <c:v>39814</c:v>
                      </c:pt>
                      <c:pt idx="29">
                        <c:v>39845</c:v>
                      </c:pt>
                      <c:pt idx="30">
                        <c:v>39873</c:v>
                      </c:pt>
                      <c:pt idx="31">
                        <c:v>39904</c:v>
                      </c:pt>
                      <c:pt idx="32">
                        <c:v>39934</c:v>
                      </c:pt>
                      <c:pt idx="33">
                        <c:v>39965</c:v>
                      </c:pt>
                      <c:pt idx="34">
                        <c:v>39995</c:v>
                      </c:pt>
                      <c:pt idx="35">
                        <c:v>40026</c:v>
                      </c:pt>
                      <c:pt idx="36">
                        <c:v>40057</c:v>
                      </c:pt>
                      <c:pt idx="37">
                        <c:v>40087</c:v>
                      </c:pt>
                      <c:pt idx="38">
                        <c:v>40118</c:v>
                      </c:pt>
                      <c:pt idx="39">
                        <c:v>40148</c:v>
                      </c:pt>
                      <c:pt idx="40">
                        <c:v>40179</c:v>
                      </c:pt>
                      <c:pt idx="41">
                        <c:v>40210</c:v>
                      </c:pt>
                      <c:pt idx="42">
                        <c:v>40238</c:v>
                      </c:pt>
                      <c:pt idx="43">
                        <c:v>40269</c:v>
                      </c:pt>
                      <c:pt idx="44">
                        <c:v>40299</c:v>
                      </c:pt>
                      <c:pt idx="45">
                        <c:v>40330</c:v>
                      </c:pt>
                      <c:pt idx="46">
                        <c:v>40360</c:v>
                      </c:pt>
                      <c:pt idx="47">
                        <c:v>40391</c:v>
                      </c:pt>
                      <c:pt idx="48">
                        <c:v>40422</c:v>
                      </c:pt>
                      <c:pt idx="49">
                        <c:v>40452</c:v>
                      </c:pt>
                      <c:pt idx="50">
                        <c:v>40483</c:v>
                      </c:pt>
                      <c:pt idx="51">
                        <c:v>40513</c:v>
                      </c:pt>
                      <c:pt idx="52">
                        <c:v>40544</c:v>
                      </c:pt>
                      <c:pt idx="53">
                        <c:v>40575</c:v>
                      </c:pt>
                      <c:pt idx="54">
                        <c:v>40603</c:v>
                      </c:pt>
                      <c:pt idx="55">
                        <c:v>40634</c:v>
                      </c:pt>
                      <c:pt idx="56">
                        <c:v>40664</c:v>
                      </c:pt>
                      <c:pt idx="57">
                        <c:v>40695</c:v>
                      </c:pt>
                      <c:pt idx="58">
                        <c:v>40725</c:v>
                      </c:pt>
                      <c:pt idx="59">
                        <c:v>40756</c:v>
                      </c:pt>
                      <c:pt idx="60">
                        <c:v>40787</c:v>
                      </c:pt>
                      <c:pt idx="61">
                        <c:v>40817</c:v>
                      </c:pt>
                      <c:pt idx="62">
                        <c:v>40848</c:v>
                      </c:pt>
                      <c:pt idx="63">
                        <c:v>40878</c:v>
                      </c:pt>
                      <c:pt idx="64">
                        <c:v>40909</c:v>
                      </c:pt>
                      <c:pt idx="65">
                        <c:v>40940</c:v>
                      </c:pt>
                      <c:pt idx="66">
                        <c:v>40969</c:v>
                      </c:pt>
                      <c:pt idx="67">
                        <c:v>41000</c:v>
                      </c:pt>
                      <c:pt idx="68">
                        <c:v>41030</c:v>
                      </c:pt>
                      <c:pt idx="69">
                        <c:v>41061</c:v>
                      </c:pt>
                      <c:pt idx="70">
                        <c:v>41091</c:v>
                      </c:pt>
                      <c:pt idx="71">
                        <c:v>41122</c:v>
                      </c:pt>
                      <c:pt idx="72">
                        <c:v>41153</c:v>
                      </c:pt>
                      <c:pt idx="73">
                        <c:v>41183</c:v>
                      </c:pt>
                      <c:pt idx="74">
                        <c:v>41214</c:v>
                      </c:pt>
                      <c:pt idx="75">
                        <c:v>41244</c:v>
                      </c:pt>
                      <c:pt idx="76">
                        <c:v>41275</c:v>
                      </c:pt>
                      <c:pt idx="77">
                        <c:v>41306</c:v>
                      </c:pt>
                      <c:pt idx="78">
                        <c:v>41334</c:v>
                      </c:pt>
                      <c:pt idx="79">
                        <c:v>41365</c:v>
                      </c:pt>
                      <c:pt idx="80">
                        <c:v>41395</c:v>
                      </c:pt>
                      <c:pt idx="81">
                        <c:v>41426</c:v>
                      </c:pt>
                      <c:pt idx="82">
                        <c:v>41456</c:v>
                      </c:pt>
                      <c:pt idx="83">
                        <c:v>41487</c:v>
                      </c:pt>
                      <c:pt idx="84">
                        <c:v>41518</c:v>
                      </c:pt>
                      <c:pt idx="85">
                        <c:v>41548</c:v>
                      </c:pt>
                      <c:pt idx="86">
                        <c:v>41579</c:v>
                      </c:pt>
                      <c:pt idx="87">
                        <c:v>41609</c:v>
                      </c:pt>
                      <c:pt idx="88">
                        <c:v>41640</c:v>
                      </c:pt>
                      <c:pt idx="89">
                        <c:v>41671</c:v>
                      </c:pt>
                      <c:pt idx="90">
                        <c:v>41699</c:v>
                      </c:pt>
                      <c:pt idx="91">
                        <c:v>41730</c:v>
                      </c:pt>
                      <c:pt idx="92">
                        <c:v>41760</c:v>
                      </c:pt>
                      <c:pt idx="93">
                        <c:v>41791</c:v>
                      </c:pt>
                      <c:pt idx="94">
                        <c:v>41821</c:v>
                      </c:pt>
                      <c:pt idx="95">
                        <c:v>41852</c:v>
                      </c:pt>
                      <c:pt idx="96">
                        <c:v>41883</c:v>
                      </c:pt>
                      <c:pt idx="97">
                        <c:v>41913</c:v>
                      </c:pt>
                      <c:pt idx="98">
                        <c:v>41944</c:v>
                      </c:pt>
                      <c:pt idx="99">
                        <c:v>41974</c:v>
                      </c:pt>
                      <c:pt idx="100">
                        <c:v>42005</c:v>
                      </c:pt>
                      <c:pt idx="101">
                        <c:v>42036</c:v>
                      </c:pt>
                      <c:pt idx="102">
                        <c:v>42064</c:v>
                      </c:pt>
                      <c:pt idx="103">
                        <c:v>42095</c:v>
                      </c:pt>
                      <c:pt idx="104">
                        <c:v>42125</c:v>
                      </c:pt>
                      <c:pt idx="105">
                        <c:v>42156</c:v>
                      </c:pt>
                      <c:pt idx="106">
                        <c:v>42186</c:v>
                      </c:pt>
                      <c:pt idx="107">
                        <c:v>42217</c:v>
                      </c:pt>
                      <c:pt idx="108">
                        <c:v>42248</c:v>
                      </c:pt>
                      <c:pt idx="109">
                        <c:v>42278</c:v>
                      </c:pt>
                      <c:pt idx="110">
                        <c:v>42309</c:v>
                      </c:pt>
                      <c:pt idx="111">
                        <c:v>42339</c:v>
                      </c:pt>
                      <c:pt idx="112">
                        <c:v>42370</c:v>
                      </c:pt>
                      <c:pt idx="113">
                        <c:v>42401</c:v>
                      </c:pt>
                      <c:pt idx="114">
                        <c:v>42430</c:v>
                      </c:pt>
                      <c:pt idx="115">
                        <c:v>42461</c:v>
                      </c:pt>
                      <c:pt idx="116">
                        <c:v>42491</c:v>
                      </c:pt>
                      <c:pt idx="117">
                        <c:v>42522</c:v>
                      </c:pt>
                      <c:pt idx="118">
                        <c:v>42552</c:v>
                      </c:pt>
                      <c:pt idx="119">
                        <c:v>42583</c:v>
                      </c:pt>
                      <c:pt idx="120">
                        <c:v>42614</c:v>
                      </c:pt>
                      <c:pt idx="121">
                        <c:v>42644</c:v>
                      </c:pt>
                      <c:pt idx="122">
                        <c:v>42675</c:v>
                      </c:pt>
                      <c:pt idx="123">
                        <c:v>42705</c:v>
                      </c:pt>
                      <c:pt idx="124">
                        <c:v>42736</c:v>
                      </c:pt>
                      <c:pt idx="125">
                        <c:v>42767</c:v>
                      </c:pt>
                      <c:pt idx="126">
                        <c:v>42795</c:v>
                      </c:pt>
                      <c:pt idx="127">
                        <c:v>42826</c:v>
                      </c:pt>
                      <c:pt idx="128">
                        <c:v>42856</c:v>
                      </c:pt>
                      <c:pt idx="129">
                        <c:v>42887</c:v>
                      </c:pt>
                      <c:pt idx="130">
                        <c:v>42917</c:v>
                      </c:pt>
                      <c:pt idx="131">
                        <c:v>42948</c:v>
                      </c:pt>
                      <c:pt idx="132">
                        <c:v>42979</c:v>
                      </c:pt>
                      <c:pt idx="133">
                        <c:v>43009</c:v>
                      </c:pt>
                      <c:pt idx="134">
                        <c:v>43040</c:v>
                      </c:pt>
                      <c:pt idx="135">
                        <c:v>43070</c:v>
                      </c:pt>
                      <c:pt idx="136">
                        <c:v>43101</c:v>
                      </c:pt>
                      <c:pt idx="137">
                        <c:v>43132</c:v>
                      </c:pt>
                      <c:pt idx="138">
                        <c:v>43160</c:v>
                      </c:pt>
                      <c:pt idx="139">
                        <c:v>43191</c:v>
                      </c:pt>
                      <c:pt idx="140">
                        <c:v>43221</c:v>
                      </c:pt>
                      <c:pt idx="141">
                        <c:v>43252</c:v>
                      </c:pt>
                      <c:pt idx="142">
                        <c:v>43282</c:v>
                      </c:pt>
                      <c:pt idx="143">
                        <c:v>43313</c:v>
                      </c:pt>
                      <c:pt idx="144">
                        <c:v>43344</c:v>
                      </c:pt>
                      <c:pt idx="145">
                        <c:v>43374</c:v>
                      </c:pt>
                      <c:pt idx="146">
                        <c:v>43405</c:v>
                      </c:pt>
                      <c:pt idx="147">
                        <c:v>43435</c:v>
                      </c:pt>
                      <c:pt idx="148">
                        <c:v>43466</c:v>
                      </c:pt>
                      <c:pt idx="149">
                        <c:v>43497</c:v>
                      </c:pt>
                      <c:pt idx="150">
                        <c:v>43525</c:v>
                      </c:pt>
                      <c:pt idx="151">
                        <c:v>43556</c:v>
                      </c:pt>
                      <c:pt idx="152">
                        <c:v>43586</c:v>
                      </c:pt>
                      <c:pt idx="153">
                        <c:v>43617</c:v>
                      </c:pt>
                      <c:pt idx="154">
                        <c:v>43647</c:v>
                      </c:pt>
                      <c:pt idx="155">
                        <c:v>43678</c:v>
                      </c:pt>
                      <c:pt idx="156">
                        <c:v>43709</c:v>
                      </c:pt>
                      <c:pt idx="157">
                        <c:v>43739</c:v>
                      </c:pt>
                      <c:pt idx="158">
                        <c:v>43770</c:v>
                      </c:pt>
                      <c:pt idx="159">
                        <c:v>43800</c:v>
                      </c:pt>
                      <c:pt idx="160">
                        <c:v>43831</c:v>
                      </c:pt>
                      <c:pt idx="161">
                        <c:v>43862</c:v>
                      </c:pt>
                      <c:pt idx="162">
                        <c:v>43891</c:v>
                      </c:pt>
                      <c:pt idx="163">
                        <c:v>43922</c:v>
                      </c:pt>
                      <c:pt idx="164">
                        <c:v>43952</c:v>
                      </c:pt>
                      <c:pt idx="165">
                        <c:v>43983</c:v>
                      </c:pt>
                      <c:pt idx="166">
                        <c:v>44013</c:v>
                      </c:pt>
                      <c:pt idx="167">
                        <c:v>44044</c:v>
                      </c:pt>
                      <c:pt idx="168">
                        <c:v>44075</c:v>
                      </c:pt>
                      <c:pt idx="169">
                        <c:v>44105</c:v>
                      </c:pt>
                      <c:pt idx="170">
                        <c:v>44136</c:v>
                      </c:pt>
                      <c:pt idx="171">
                        <c:v>44166</c:v>
                      </c:pt>
                      <c:pt idx="172">
                        <c:v>44197</c:v>
                      </c:pt>
                      <c:pt idx="173">
                        <c:v>44228</c:v>
                      </c:pt>
                      <c:pt idx="174">
                        <c:v>44256</c:v>
                      </c:pt>
                      <c:pt idx="175">
                        <c:v>44287</c:v>
                      </c:pt>
                      <c:pt idx="176">
                        <c:v>44317</c:v>
                      </c:pt>
                      <c:pt idx="177">
                        <c:v>44348</c:v>
                      </c:pt>
                    </c:numCache>
                  </c:numRef>
                </c:cat>
                <c:val>
                  <c:numRef>
                    <c:extLst>
                      <c:ext uri="{02D57815-91ED-43cb-92C2-25804820EDAC}">
                        <c15:formulaRef>
                          <c15:sqref>'Model s neoč. nez. a IFO (M 3b)'!$C$3:$C$150</c15:sqref>
                        </c15:formulaRef>
                      </c:ext>
                    </c:extLst>
                    <c:numCache>
                      <c:formatCode>General</c:formatCode>
                      <c:ptCount val="148"/>
                    </c:numCache>
                  </c:numRef>
                </c:val>
                <c:smooth val="0"/>
                <c:extLst>
                  <c:ext xmlns:c16="http://schemas.microsoft.com/office/drawing/2014/chart" uri="{C3380CC4-5D6E-409C-BE32-E72D297353CC}">
                    <c16:uniqueId val="{00000003-6E72-4A3C-AD83-96AFBAA0D665}"/>
                  </c:ext>
                </c:extLst>
              </c15:ser>
            </c15:filteredLineSeries>
          </c:ext>
        </c:extLst>
      </c:lineChart>
      <c:dateAx>
        <c:axId val="55252480"/>
        <c:scaling>
          <c:orientation val="minMax"/>
          <c:max val="44348"/>
          <c:min val="41791"/>
        </c:scaling>
        <c:delete val="0"/>
        <c:axPos val="b"/>
        <c:majorGridlines/>
        <c:numFmt formatCode="mm\/yy" sourceLinked="0"/>
        <c:majorTickMark val="none"/>
        <c:minorTickMark val="none"/>
        <c:tickLblPos val="low"/>
        <c:txPr>
          <a:bodyPr/>
          <a:lstStyle/>
          <a:p>
            <a:pPr>
              <a:defRPr sz="1000"/>
            </a:pPr>
            <a:endParaRPr lang="cs-CZ"/>
          </a:p>
        </c:txPr>
        <c:crossAx val="55254400"/>
        <c:crosses val="autoZero"/>
        <c:auto val="1"/>
        <c:lblOffset val="100"/>
        <c:baseTimeUnit val="months"/>
        <c:majorUnit val="3"/>
        <c:majorTimeUnit val="months"/>
      </c:dateAx>
      <c:valAx>
        <c:axId val="55254400"/>
        <c:scaling>
          <c:orientation val="minMax"/>
        </c:scaling>
        <c:delete val="0"/>
        <c:axPos val="l"/>
        <c:majorGridlines>
          <c:spPr>
            <a:ln>
              <a:solidFill>
                <a:schemeClr val="bg1">
                  <a:lumMod val="75000"/>
                </a:schemeClr>
              </a:solidFill>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baseline="0">
                    <a:effectLst/>
                  </a:rPr>
                  <a:t>meziroční změna v %</a:t>
                </a:r>
                <a:endParaRPr lang="cs-CZ" sz="1000">
                  <a:effectLst/>
                </a:endParaRPr>
              </a:p>
            </c:rich>
          </c:tx>
          <c:overlay val="0"/>
        </c:title>
        <c:numFmt formatCode="0" sourceLinked="0"/>
        <c:majorTickMark val="none"/>
        <c:minorTickMark val="none"/>
        <c:tickLblPos val="nextTo"/>
        <c:spPr>
          <a:ln w="9525">
            <a:noFill/>
          </a:ln>
        </c:spPr>
        <c:crossAx val="55252480"/>
        <c:crosses val="autoZero"/>
        <c:crossBetween val="between"/>
      </c:valAx>
    </c:plotArea>
    <c:legend>
      <c:legendPos val="b"/>
      <c:layout>
        <c:manualLayout>
          <c:xMode val="edge"/>
          <c:yMode val="edge"/>
          <c:x val="0.24779520222503987"/>
          <c:y val="0.82126636635511086"/>
          <c:w val="0.63387176500344233"/>
          <c:h val="0.13795927630324356"/>
        </c:manualLayout>
      </c:layout>
      <c:overlay val="0"/>
    </c:legend>
    <c:plotVisOnly val="0"/>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88888888888889E-2"/>
          <c:y val="8.1345928656650884E-2"/>
          <c:w val="0.93888888888888888"/>
          <c:h val="0.59314443408901096"/>
        </c:manualLayout>
      </c:layout>
      <c:lineChart>
        <c:grouping val="standard"/>
        <c:varyColors val="0"/>
        <c:ser>
          <c:idx val="0"/>
          <c:order val="0"/>
          <c:tx>
            <c:strRef>
              <c:f>'[Exportni_index_2021-Q1_data.xlsx]historie'!$D$2</c:f>
              <c:strCache>
                <c:ptCount val="1"/>
                <c:pt idx="0">
                  <c:v>median</c:v>
                </c:pt>
              </c:strCache>
            </c:strRef>
          </c:tx>
          <c:spPr>
            <a:ln>
              <a:solidFill>
                <a:schemeClr val="bg1">
                  <a:lumMod val="65000"/>
                </a:schemeClr>
              </a:solidFill>
              <a:headEnd type="none"/>
              <a:tailEnd type="triangle"/>
            </a:ln>
          </c:spPr>
          <c:marker>
            <c:symbol val="none"/>
          </c:marker>
          <c:dPt>
            <c:idx val="1"/>
            <c:bubble3D val="0"/>
            <c:spPr>
              <a:ln cap="rnd">
                <a:solidFill>
                  <a:schemeClr val="bg1">
                    <a:lumMod val="65000"/>
                  </a:schemeClr>
                </a:solidFill>
                <a:round/>
                <a:headEnd type="none"/>
                <a:tailEnd type="triangle" w="lg" len="sm"/>
              </a:ln>
            </c:spPr>
            <c:extLst>
              <c:ext xmlns:c16="http://schemas.microsoft.com/office/drawing/2014/chart" uri="{C3380CC4-5D6E-409C-BE32-E72D297353CC}">
                <c16:uniqueId val="{00000001-FCFE-4160-9BF6-B7FE80792B6C}"/>
              </c:ext>
            </c:extLst>
          </c:dPt>
          <c:dLbls>
            <c:dLbl>
              <c:idx val="5"/>
              <c:delete val="1"/>
              <c:extLst>
                <c:ext xmlns:c15="http://schemas.microsoft.com/office/drawing/2012/chart" uri="{CE6537A1-D6FC-4f65-9D91-7224C49458BB}"/>
                <c:ext xmlns:c16="http://schemas.microsoft.com/office/drawing/2014/chart" uri="{C3380CC4-5D6E-409C-BE32-E72D297353CC}">
                  <c16:uniqueId val="{00000008-9148-4767-BECA-B704B9DFF83B}"/>
                </c:ext>
              </c:extLst>
            </c:dLbl>
            <c:dLbl>
              <c:idx val="6"/>
              <c:delete val="1"/>
              <c:extLst>
                <c:ext xmlns:c15="http://schemas.microsoft.com/office/drawing/2012/chart" uri="{CE6537A1-D6FC-4f65-9D91-7224C49458BB}"/>
                <c:ext xmlns:c16="http://schemas.microsoft.com/office/drawing/2014/chart" uri="{C3380CC4-5D6E-409C-BE32-E72D297353CC}">
                  <c16:uniqueId val="{00000009-9148-4767-BECA-B704B9DFF83B}"/>
                </c:ext>
              </c:extLst>
            </c:dLbl>
            <c:dLbl>
              <c:idx val="7"/>
              <c:layout>
                <c:manualLayout>
                  <c:x val="-5.0474469046543152E-2"/>
                  <c:y val="7.0569290871836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48-4767-BECA-B704B9DFF83B}"/>
                </c:ext>
              </c:extLst>
            </c:dLbl>
            <c:dLbl>
              <c:idx val="8"/>
              <c:layout>
                <c:manualLayout>
                  <c:x val="-2.5621328513330405E-2"/>
                  <c:y val="-8.3550448310143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48-4767-BECA-B704B9DFF83B}"/>
                </c:ext>
              </c:extLst>
            </c:dLbl>
            <c:dLbl>
              <c:idx val="9"/>
              <c:layout>
                <c:manualLayout>
                  <c:x val="-5.2733845458653492E-2"/>
                  <c:y val="-7.1695083757683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48-4767-BECA-B704B9DFF83B}"/>
                </c:ext>
              </c:extLst>
            </c:dLbl>
            <c:dLbl>
              <c:idx val="10"/>
              <c:layout>
                <c:manualLayout>
                  <c:x val="-3.2399457749661097E-2"/>
                  <c:y val="8.83523377005260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48-4767-BECA-B704B9DFF83B}"/>
                </c:ext>
              </c:extLst>
            </c:dLbl>
            <c:numFmt formatCode="#,##0.0" sourceLinked="0"/>
            <c:spPr>
              <a:solidFill>
                <a:schemeClr val="bg1"/>
              </a:solidFill>
            </c:spPr>
            <c:txPr>
              <a:bodyPr/>
              <a:lstStyle/>
              <a:p>
                <a:pPr>
                  <a:defRPr sz="800" b="1">
                    <a:solidFill>
                      <a:schemeClr val="bg1">
                        <a:lumMod val="65000"/>
                      </a:schemeClr>
                    </a:solidFill>
                    <a:latin typeface="Century Gothic" panose="020B0502020202020204" pitchFamily="34" charset="0"/>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'[Exportni_index_2021-Q1_data.xlsx]historie'!$A$11:$A$23</c:f>
              <c:strCache>
                <c:ptCount val="13"/>
                <c:pt idx="0">
                  <c:v>Q1/2018</c:v>
                </c:pt>
                <c:pt idx="1">
                  <c:v>Q2/2018</c:v>
                </c:pt>
                <c:pt idx="2">
                  <c:v>Q3/2018</c:v>
                </c:pt>
                <c:pt idx="3">
                  <c:v>Q4/2018</c:v>
                </c:pt>
                <c:pt idx="4">
                  <c:v>Q1/2019</c:v>
                </c:pt>
                <c:pt idx="5">
                  <c:v>Q2/2019</c:v>
                </c:pt>
                <c:pt idx="6">
                  <c:v>Q3/2019</c:v>
                </c:pt>
                <c:pt idx="7">
                  <c:v>Q4/2019</c:v>
                </c:pt>
                <c:pt idx="8">
                  <c:v>Q1/2020</c:v>
                </c:pt>
                <c:pt idx="9">
                  <c:v>Q2/2020</c:v>
                </c:pt>
                <c:pt idx="10">
                  <c:v>Q3/2020</c:v>
                </c:pt>
                <c:pt idx="11">
                  <c:v>Q4/2020</c:v>
                </c:pt>
                <c:pt idx="12">
                  <c:v>Q1/2021</c:v>
                </c:pt>
              </c:strCache>
            </c:strRef>
          </c:cat>
          <c:val>
            <c:numRef>
              <c:f>'[Exportni_index_2021-Q1_data.xlsx]historie'!$D$11:$D$23</c:f>
              <c:numCache>
                <c:formatCode>0.00</c:formatCode>
                <c:ptCount val="13"/>
                <c:pt idx="0">
                  <c:v>52.5</c:v>
                </c:pt>
                <c:pt idx="1">
                  <c:v>50</c:v>
                </c:pt>
                <c:pt idx="2">
                  <c:v>50</c:v>
                </c:pt>
                <c:pt idx="3">
                  <c:v>50</c:v>
                </c:pt>
                <c:pt idx="4">
                  <c:v>50</c:v>
                </c:pt>
                <c:pt idx="5">
                  <c:v>50</c:v>
                </c:pt>
                <c:pt idx="6">
                  <c:v>50</c:v>
                </c:pt>
                <c:pt idx="7">
                  <c:v>50</c:v>
                </c:pt>
                <c:pt idx="8">
                  <c:v>41</c:v>
                </c:pt>
                <c:pt idx="9">
                  <c:v>43</c:v>
                </c:pt>
                <c:pt idx="10">
                  <c:v>50</c:v>
                </c:pt>
                <c:pt idx="11">
                  <c:v>50</c:v>
                </c:pt>
                <c:pt idx="12">
                  <c:v>50</c:v>
                </c:pt>
              </c:numCache>
            </c:numRef>
          </c:val>
          <c:smooth val="1"/>
          <c:extLst>
            <c:ext xmlns:c16="http://schemas.microsoft.com/office/drawing/2014/chart" uri="{C3380CC4-5D6E-409C-BE32-E72D297353CC}">
              <c16:uniqueId val="{00000002-FCFE-4160-9BF6-B7FE80792B6C}"/>
            </c:ext>
          </c:extLst>
        </c:ser>
        <c:ser>
          <c:idx val="1"/>
          <c:order val="1"/>
          <c:tx>
            <c:strRef>
              <c:f>'[Exportni_index_2021-Q1_data.xlsx]historie'!$J$3</c:f>
              <c:strCache>
                <c:ptCount val="1"/>
                <c:pt idx="0">
                  <c:v>Současná situace (průměr)</c:v>
                </c:pt>
              </c:strCache>
            </c:strRef>
          </c:tx>
          <c:spPr>
            <a:ln>
              <a:solidFill>
                <a:srgbClr val="FFC000"/>
              </a:solidFill>
              <a:headEnd type="none"/>
              <a:tailEnd type="triangle"/>
            </a:ln>
          </c:spPr>
          <c:marker>
            <c:symbol val="none"/>
          </c:marker>
          <c:dLbls>
            <c:dLbl>
              <c:idx val="5"/>
              <c:layout>
                <c:manualLayout>
                  <c:x val="-4.3651152281970175E-2"/>
                  <c:y val="6.80647284234698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48-4767-BECA-B704B9DFF83B}"/>
                </c:ext>
              </c:extLst>
            </c:dLbl>
            <c:dLbl>
              <c:idx val="6"/>
              <c:layout>
                <c:manualLayout>
                  <c:x val="-4.0789394095733518E-2"/>
                  <c:y val="4.76739681398745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FE-4160-9BF6-B7FE80792B6C}"/>
                </c:ext>
              </c:extLst>
            </c:dLbl>
            <c:dLbl>
              <c:idx val="8"/>
              <c:layout>
                <c:manualLayout>
                  <c:x val="-5.6917427797801741E-2"/>
                  <c:y val="4.17462858636445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FE-4160-9BF6-B7FE80792B6C}"/>
                </c:ext>
              </c:extLst>
            </c:dLbl>
            <c:dLbl>
              <c:idx val="9"/>
              <c:layout>
                <c:manualLayout>
                  <c:x val="-4.1391775869859836E-2"/>
                  <c:y val="0.1214138689095398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48-4767-BECA-B704B9DFF83B}"/>
                </c:ext>
              </c:extLst>
            </c:dLbl>
            <c:numFmt formatCode="#,##0.0" sourceLinked="0"/>
            <c:spPr>
              <a:noFill/>
              <a:ln>
                <a:noFill/>
              </a:ln>
              <a:effectLst/>
            </c:spPr>
            <c:txPr>
              <a:bodyPr/>
              <a:lstStyle/>
              <a:p>
                <a:pPr>
                  <a:defRPr sz="900" b="1">
                    <a:solidFill>
                      <a:srgbClr val="FFC000"/>
                    </a:solidFill>
                    <a:latin typeface="Century Gothic" panose="020B0502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'[Exportni_index_2021-Q1_data.xlsx]historie'!$A$11:$A$23</c:f>
              <c:strCache>
                <c:ptCount val="13"/>
                <c:pt idx="0">
                  <c:v>Q1/2018</c:v>
                </c:pt>
                <c:pt idx="1">
                  <c:v>Q2/2018</c:v>
                </c:pt>
                <c:pt idx="2">
                  <c:v>Q3/2018</c:v>
                </c:pt>
                <c:pt idx="3">
                  <c:v>Q4/2018</c:v>
                </c:pt>
                <c:pt idx="4">
                  <c:v>Q1/2019</c:v>
                </c:pt>
                <c:pt idx="5">
                  <c:v>Q2/2019</c:v>
                </c:pt>
                <c:pt idx="6">
                  <c:v>Q3/2019</c:v>
                </c:pt>
                <c:pt idx="7">
                  <c:v>Q4/2019</c:v>
                </c:pt>
                <c:pt idx="8">
                  <c:v>Q1/2020</c:v>
                </c:pt>
                <c:pt idx="9">
                  <c:v>Q2/2020</c:v>
                </c:pt>
                <c:pt idx="10">
                  <c:v>Q3/2020</c:v>
                </c:pt>
                <c:pt idx="11">
                  <c:v>Q4/2020</c:v>
                </c:pt>
                <c:pt idx="12">
                  <c:v>Q1/2021</c:v>
                </c:pt>
              </c:strCache>
            </c:strRef>
          </c:cat>
          <c:val>
            <c:numRef>
              <c:f>'[Exportni_index_2021-Q1_data.xlsx]historie'!$C$11:$C$23</c:f>
              <c:numCache>
                <c:formatCode>0.00</c:formatCode>
                <c:ptCount val="13"/>
                <c:pt idx="0">
                  <c:v>53.863636363636367</c:v>
                </c:pt>
                <c:pt idx="1">
                  <c:v>52.44736842105263</c:v>
                </c:pt>
                <c:pt idx="2">
                  <c:v>50.877551020408163</c:v>
                </c:pt>
                <c:pt idx="3">
                  <c:v>54.75</c:v>
                </c:pt>
                <c:pt idx="4">
                  <c:v>51.142857142857146</c:v>
                </c:pt>
                <c:pt idx="5">
                  <c:v>49.871794871794869</c:v>
                </c:pt>
                <c:pt idx="6">
                  <c:v>47.351351351351354</c:v>
                </c:pt>
                <c:pt idx="7">
                  <c:v>51.857142857142854</c:v>
                </c:pt>
                <c:pt idx="8">
                  <c:v>39.073170731707314</c:v>
                </c:pt>
                <c:pt idx="9">
                  <c:v>42.046511627906973</c:v>
                </c:pt>
                <c:pt idx="10">
                  <c:v>52.583333333333336</c:v>
                </c:pt>
                <c:pt idx="11">
                  <c:v>57.162162162162161</c:v>
                </c:pt>
                <c:pt idx="12">
                  <c:v>51.952380952380949</c:v>
                </c:pt>
              </c:numCache>
            </c:numRef>
          </c:val>
          <c:smooth val="1"/>
          <c:extLst>
            <c:ext xmlns:c16="http://schemas.microsoft.com/office/drawing/2014/chart" uri="{C3380CC4-5D6E-409C-BE32-E72D297353CC}">
              <c16:uniqueId val="{00000005-FCFE-4160-9BF6-B7FE80792B6C}"/>
            </c:ext>
          </c:extLst>
        </c:ser>
        <c:dLbls>
          <c:showLegendKey val="0"/>
          <c:showVal val="0"/>
          <c:showCatName val="0"/>
          <c:showSerName val="0"/>
          <c:showPercent val="0"/>
          <c:showBubbleSize val="0"/>
        </c:dLbls>
        <c:smooth val="0"/>
        <c:axId val="173171840"/>
        <c:axId val="173173376"/>
      </c:lineChart>
      <c:catAx>
        <c:axId val="173171840"/>
        <c:scaling>
          <c:orientation val="minMax"/>
        </c:scaling>
        <c:delete val="0"/>
        <c:axPos val="b"/>
        <c:numFmt formatCode="General" sourceLinked="1"/>
        <c:majorTickMark val="out"/>
        <c:minorTickMark val="none"/>
        <c:tickLblPos val="nextTo"/>
        <c:txPr>
          <a:bodyPr rot="0"/>
          <a:lstStyle/>
          <a:p>
            <a:pPr>
              <a:defRPr sz="800">
                <a:latin typeface="Century Gothic" panose="020B0502020202020204" pitchFamily="34" charset="0"/>
              </a:defRPr>
            </a:pPr>
            <a:endParaRPr lang="cs-CZ"/>
          </a:p>
        </c:txPr>
        <c:crossAx val="173173376"/>
        <c:crosses val="autoZero"/>
        <c:auto val="1"/>
        <c:lblAlgn val="ctr"/>
        <c:lblOffset val="100"/>
        <c:tickLblSkip val="2"/>
        <c:tickMarkSkip val="1"/>
        <c:noMultiLvlLbl val="0"/>
      </c:catAx>
      <c:valAx>
        <c:axId val="173173376"/>
        <c:scaling>
          <c:orientation val="minMax"/>
          <c:min val="35"/>
        </c:scaling>
        <c:delete val="0"/>
        <c:axPos val="l"/>
        <c:majorGridlines>
          <c:spPr>
            <a:ln w="6350">
              <a:solidFill>
                <a:schemeClr val="bg1">
                  <a:lumMod val="85000"/>
                </a:schemeClr>
              </a:solidFill>
            </a:ln>
          </c:spPr>
        </c:majorGridlines>
        <c:numFmt formatCode="#,##0.00" sourceLinked="0"/>
        <c:majorTickMark val="out"/>
        <c:minorTickMark val="none"/>
        <c:tickLblPos val="nextTo"/>
        <c:crossAx val="173171840"/>
        <c:crosses val="autoZero"/>
        <c:crossBetween val="between"/>
        <c:majorUnit val="5"/>
      </c:valAx>
    </c:plotArea>
    <c:legend>
      <c:legendPos val="b"/>
      <c:layout>
        <c:manualLayout>
          <c:xMode val="edge"/>
          <c:yMode val="edge"/>
          <c:x val="7.6657699037620319E-2"/>
          <c:y val="0.79275795598128018"/>
          <c:w val="0.89875546806649165"/>
          <c:h val="0.19242020863713316"/>
        </c:manualLayout>
      </c:layout>
      <c:overlay val="0"/>
      <c:txPr>
        <a:bodyPr/>
        <a:lstStyle/>
        <a:p>
          <a:pPr>
            <a:defRPr>
              <a:latin typeface="Century Gothic" panose="020B0502020202020204" pitchFamily="34" charset="0"/>
            </a:defRPr>
          </a:pPr>
          <a:endParaRPr lang="cs-CZ"/>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88888888888889E-2"/>
          <c:y val="8.1345928656650884E-2"/>
          <c:w val="0.93888888888888888"/>
          <c:h val="0.62854610922437826"/>
        </c:manualLayout>
      </c:layout>
      <c:lineChart>
        <c:grouping val="standard"/>
        <c:varyColors val="0"/>
        <c:ser>
          <c:idx val="0"/>
          <c:order val="0"/>
          <c:tx>
            <c:strRef>
              <c:f>'[Exportni_index_2021-Q1_data.xlsx]historie'!$C$25</c:f>
              <c:strCache>
                <c:ptCount val="1"/>
                <c:pt idx="0">
                  <c:v>Výhled +3M (medián)</c:v>
                </c:pt>
              </c:strCache>
            </c:strRef>
          </c:tx>
          <c:spPr>
            <a:ln>
              <a:solidFill>
                <a:schemeClr val="bg1">
                  <a:lumMod val="65000"/>
                </a:schemeClr>
              </a:solidFill>
              <a:headEnd type="none"/>
              <a:tailEnd type="triangle"/>
            </a:ln>
          </c:spPr>
          <c:marker>
            <c:symbol val="none"/>
          </c:marker>
          <c:dPt>
            <c:idx val="1"/>
            <c:bubble3D val="0"/>
            <c:spPr>
              <a:ln cap="rnd">
                <a:solidFill>
                  <a:schemeClr val="bg1">
                    <a:lumMod val="65000"/>
                  </a:schemeClr>
                </a:solidFill>
                <a:round/>
                <a:headEnd type="none"/>
                <a:tailEnd type="triangle" w="lg" len="sm"/>
              </a:ln>
            </c:spPr>
            <c:extLst>
              <c:ext xmlns:c16="http://schemas.microsoft.com/office/drawing/2014/chart" uri="{C3380CC4-5D6E-409C-BE32-E72D297353CC}">
                <c16:uniqueId val="{00000001-02BA-4616-BADF-383CC0443E00}"/>
              </c:ext>
            </c:extLst>
          </c:dPt>
          <c:dLbls>
            <c:dLbl>
              <c:idx val="0"/>
              <c:layout>
                <c:manualLayout>
                  <c:x val="-4.116351533666808E-2"/>
                  <c:y val="7.26876765445996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BA-4616-BADF-383CC0443E00}"/>
                </c:ext>
              </c:extLst>
            </c:dLbl>
            <c:dLbl>
              <c:idx val="2"/>
              <c:layout>
                <c:manualLayout>
                  <c:x val="-3.7602095806126626E-2"/>
                  <c:y val="7.68851109191054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BA-4616-BADF-383CC0443E00}"/>
                </c:ext>
              </c:extLst>
            </c:dLbl>
            <c:dLbl>
              <c:idx val="3"/>
              <c:layout>
                <c:manualLayout>
                  <c:x val="-4.0023220436496511E-2"/>
                  <c:y val="4.62641957692634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BA-4616-BADF-383CC0443E00}"/>
                </c:ext>
              </c:extLst>
            </c:dLbl>
            <c:dLbl>
              <c:idx val="6"/>
              <c:delete val="1"/>
              <c:extLst>
                <c:ext xmlns:c15="http://schemas.microsoft.com/office/drawing/2012/chart" uri="{CE6537A1-D6FC-4f65-9D91-7224C49458BB}"/>
                <c:ext xmlns:c16="http://schemas.microsoft.com/office/drawing/2014/chart" uri="{C3380CC4-5D6E-409C-BE32-E72D297353CC}">
                  <c16:uniqueId val="{00000005-02BA-4616-BADF-383CC0443E00}"/>
                </c:ext>
              </c:extLst>
            </c:dLbl>
            <c:dLbl>
              <c:idx val="7"/>
              <c:layout>
                <c:manualLayout>
                  <c:x val="-7.6840047771806377E-2"/>
                  <c:y val="6.12231147281085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BA-4616-BADF-383CC0443E00}"/>
                </c:ext>
              </c:extLst>
            </c:dLbl>
            <c:dLbl>
              <c:idx val="9"/>
              <c:delete val="1"/>
              <c:extLst>
                <c:ext xmlns:c15="http://schemas.microsoft.com/office/drawing/2012/chart" uri="{CE6537A1-D6FC-4f65-9D91-7224C49458BB}"/>
                <c:ext xmlns:c16="http://schemas.microsoft.com/office/drawing/2014/chart" uri="{C3380CC4-5D6E-409C-BE32-E72D297353CC}">
                  <c16:uniqueId val="{00000002-880E-42F9-8CFA-0FDBC4EDCA90}"/>
                </c:ext>
              </c:extLst>
            </c:dLbl>
            <c:dLbl>
              <c:idx val="10"/>
              <c:layout>
                <c:manualLayout>
                  <c:x val="-0.15339506172839515"/>
                  <c:y val="-6.123940883228522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0E-42F9-8CFA-0FDBC4EDCA90}"/>
                </c:ext>
              </c:extLst>
            </c:dLbl>
            <c:dLbl>
              <c:idx val="11"/>
              <c:layout>
                <c:manualLayout>
                  <c:x val="-4.0961199294532791E-2"/>
                  <c:y val="-0.1067950818228258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0E-42F9-8CFA-0FDBC4EDCA90}"/>
                </c:ext>
              </c:extLst>
            </c:dLbl>
            <c:dLbl>
              <c:idx val="12"/>
              <c:layout>
                <c:manualLayout>
                  <c:x val="-1.7032766737491146E-2"/>
                  <c:y val="0.1057328823829907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0E-42F9-8CFA-0FDBC4EDCA90}"/>
                </c:ext>
              </c:extLst>
            </c:dLbl>
            <c:numFmt formatCode="#,##0.0" sourceLinked="0"/>
            <c:spPr>
              <a:solidFill>
                <a:schemeClr val="bg1"/>
              </a:solidFill>
            </c:spPr>
            <c:txPr>
              <a:bodyPr/>
              <a:lstStyle/>
              <a:p>
                <a:pPr>
                  <a:defRPr sz="800" b="1">
                    <a:solidFill>
                      <a:schemeClr val="bg1">
                        <a:lumMod val="65000"/>
                      </a:schemeClr>
                    </a:solidFill>
                    <a:latin typeface="Century Gothic" panose="020B0502020202020204" pitchFamily="34" charset="0"/>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'[Exportni_index_2021-Q1_data.xlsx]historie'!$A$11:$A$23</c:f>
              <c:strCache>
                <c:ptCount val="13"/>
                <c:pt idx="0">
                  <c:v>Q1/2018</c:v>
                </c:pt>
                <c:pt idx="1">
                  <c:v>Q2/2018</c:v>
                </c:pt>
                <c:pt idx="2">
                  <c:v>Q3/2018</c:v>
                </c:pt>
                <c:pt idx="3">
                  <c:v>Q4/2018</c:v>
                </c:pt>
                <c:pt idx="4">
                  <c:v>Q1/2019</c:v>
                </c:pt>
                <c:pt idx="5">
                  <c:v>Q2/2019</c:v>
                </c:pt>
                <c:pt idx="6">
                  <c:v>Q3/2019</c:v>
                </c:pt>
                <c:pt idx="7">
                  <c:v>Q4/2019</c:v>
                </c:pt>
                <c:pt idx="8">
                  <c:v>Q1/2020</c:v>
                </c:pt>
                <c:pt idx="9">
                  <c:v>Q2/2020</c:v>
                </c:pt>
                <c:pt idx="10">
                  <c:v>Q3/2020</c:v>
                </c:pt>
                <c:pt idx="11">
                  <c:v>Q4/2020</c:v>
                </c:pt>
                <c:pt idx="12">
                  <c:v>Q1/2021</c:v>
                </c:pt>
              </c:strCache>
            </c:strRef>
          </c:cat>
          <c:val>
            <c:numRef>
              <c:f>'[Exportni_index_2021-Q1_data.xlsx]historie'!$F$11:$F$23</c:f>
              <c:numCache>
                <c:formatCode>0.00</c:formatCode>
                <c:ptCount val="13"/>
                <c:pt idx="0">
                  <c:v>54</c:v>
                </c:pt>
                <c:pt idx="1">
                  <c:v>50</c:v>
                </c:pt>
                <c:pt idx="2">
                  <c:v>50</c:v>
                </c:pt>
                <c:pt idx="3">
                  <c:v>50</c:v>
                </c:pt>
                <c:pt idx="4">
                  <c:v>50</c:v>
                </c:pt>
                <c:pt idx="5">
                  <c:v>50</c:v>
                </c:pt>
                <c:pt idx="6">
                  <c:v>50</c:v>
                </c:pt>
                <c:pt idx="7">
                  <c:v>50</c:v>
                </c:pt>
                <c:pt idx="8">
                  <c:v>40</c:v>
                </c:pt>
                <c:pt idx="9">
                  <c:v>50</c:v>
                </c:pt>
                <c:pt idx="10">
                  <c:v>50</c:v>
                </c:pt>
                <c:pt idx="11">
                  <c:v>50</c:v>
                </c:pt>
                <c:pt idx="12">
                  <c:v>55</c:v>
                </c:pt>
              </c:numCache>
            </c:numRef>
          </c:val>
          <c:smooth val="1"/>
          <c:extLst>
            <c:ext xmlns:c16="http://schemas.microsoft.com/office/drawing/2014/chart" uri="{C3380CC4-5D6E-409C-BE32-E72D297353CC}">
              <c16:uniqueId val="{00000007-02BA-4616-BADF-383CC0443E00}"/>
            </c:ext>
          </c:extLst>
        </c:ser>
        <c:ser>
          <c:idx val="1"/>
          <c:order val="1"/>
          <c:tx>
            <c:strRef>
              <c:f>'[Exportni_index_2021-Q1_data.xlsx]historie'!$C$26</c:f>
              <c:strCache>
                <c:ptCount val="1"/>
                <c:pt idx="0">
                  <c:v>Výhled +3M (průměr)</c:v>
                </c:pt>
              </c:strCache>
            </c:strRef>
          </c:tx>
          <c:spPr>
            <a:ln>
              <a:solidFill>
                <a:srgbClr val="FFC000"/>
              </a:solidFill>
              <a:headEnd type="none"/>
              <a:tailEnd type="triangle"/>
            </a:ln>
          </c:spPr>
          <c:marker>
            <c:symbol val="none"/>
          </c:marker>
          <c:dLbls>
            <c:dLbl>
              <c:idx val="9"/>
              <c:layout>
                <c:manualLayout>
                  <c:x val="-7.3633156966490297E-3"/>
                  <c:y val="2.290290475435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0E-42F9-8CFA-0FDBC4EDCA90}"/>
                </c:ext>
              </c:extLst>
            </c:dLbl>
            <c:dLbl>
              <c:idx val="11"/>
              <c:layout>
                <c:manualLayout>
                  <c:x val="-3.8227513227513228E-2"/>
                  <c:y val="3.4088587080977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0E-42F9-8CFA-0FDBC4EDCA90}"/>
                </c:ext>
              </c:extLst>
            </c:dLbl>
            <c:dLbl>
              <c:idx val="12"/>
              <c:layout>
                <c:manualLayout>
                  <c:x val="-2.4003820035022369E-2"/>
                  <c:y val="-3.99917461478371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BA-4616-BADF-383CC0443E00}"/>
                </c:ext>
              </c:extLst>
            </c:dLbl>
            <c:numFmt formatCode="#,##0.0" sourceLinked="0"/>
            <c:spPr>
              <a:noFill/>
              <a:ln>
                <a:noFill/>
              </a:ln>
              <a:effectLst/>
            </c:spPr>
            <c:txPr>
              <a:bodyPr/>
              <a:lstStyle/>
              <a:p>
                <a:pPr>
                  <a:defRPr sz="800" b="1">
                    <a:solidFill>
                      <a:srgbClr val="FFC000"/>
                    </a:solidFill>
                    <a:latin typeface="Century Gothic" panose="020B0502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'[Exportni_index_2021-Q1_data.xlsx]historie'!$A$11:$A$23</c:f>
              <c:strCache>
                <c:ptCount val="13"/>
                <c:pt idx="0">
                  <c:v>Q1/2018</c:v>
                </c:pt>
                <c:pt idx="1">
                  <c:v>Q2/2018</c:v>
                </c:pt>
                <c:pt idx="2">
                  <c:v>Q3/2018</c:v>
                </c:pt>
                <c:pt idx="3">
                  <c:v>Q4/2018</c:v>
                </c:pt>
                <c:pt idx="4">
                  <c:v>Q1/2019</c:v>
                </c:pt>
                <c:pt idx="5">
                  <c:v>Q2/2019</c:v>
                </c:pt>
                <c:pt idx="6">
                  <c:v>Q3/2019</c:v>
                </c:pt>
                <c:pt idx="7">
                  <c:v>Q4/2019</c:v>
                </c:pt>
                <c:pt idx="8">
                  <c:v>Q1/2020</c:v>
                </c:pt>
                <c:pt idx="9">
                  <c:v>Q2/2020</c:v>
                </c:pt>
                <c:pt idx="10">
                  <c:v>Q3/2020</c:v>
                </c:pt>
                <c:pt idx="11">
                  <c:v>Q4/2020</c:v>
                </c:pt>
                <c:pt idx="12">
                  <c:v>Q1/2021</c:v>
                </c:pt>
              </c:strCache>
            </c:strRef>
          </c:cat>
          <c:val>
            <c:numRef>
              <c:f>'[Exportni_index_2021-Q1_data.xlsx]historie'!$E$11:$E$23</c:f>
              <c:numCache>
                <c:formatCode>0.00</c:formatCode>
                <c:ptCount val="13"/>
                <c:pt idx="0">
                  <c:v>55.727272727272727</c:v>
                </c:pt>
                <c:pt idx="1">
                  <c:v>54.026315789473685</c:v>
                </c:pt>
                <c:pt idx="2">
                  <c:v>54</c:v>
                </c:pt>
                <c:pt idx="3">
                  <c:v>49.777777777777779</c:v>
                </c:pt>
                <c:pt idx="4">
                  <c:v>52.952380952380949</c:v>
                </c:pt>
                <c:pt idx="5">
                  <c:v>49.743589743589745</c:v>
                </c:pt>
                <c:pt idx="6">
                  <c:v>49.081081081081081</c:v>
                </c:pt>
                <c:pt idx="7">
                  <c:v>50.342857142857142</c:v>
                </c:pt>
                <c:pt idx="8">
                  <c:v>40.658536585365852</c:v>
                </c:pt>
                <c:pt idx="9">
                  <c:v>49.465116279069768</c:v>
                </c:pt>
                <c:pt idx="10">
                  <c:v>53.520833333333336</c:v>
                </c:pt>
                <c:pt idx="11">
                  <c:v>49.135135135135137</c:v>
                </c:pt>
                <c:pt idx="12">
                  <c:v>58.095238095238095</c:v>
                </c:pt>
              </c:numCache>
            </c:numRef>
          </c:val>
          <c:smooth val="1"/>
          <c:extLst>
            <c:ext xmlns:c16="http://schemas.microsoft.com/office/drawing/2014/chart" uri="{C3380CC4-5D6E-409C-BE32-E72D297353CC}">
              <c16:uniqueId val="{00000009-02BA-4616-BADF-383CC0443E00}"/>
            </c:ext>
          </c:extLst>
        </c:ser>
        <c:dLbls>
          <c:showLegendKey val="0"/>
          <c:showVal val="0"/>
          <c:showCatName val="0"/>
          <c:showSerName val="0"/>
          <c:showPercent val="0"/>
          <c:showBubbleSize val="0"/>
        </c:dLbls>
        <c:smooth val="0"/>
        <c:axId val="173190144"/>
        <c:axId val="173347584"/>
      </c:lineChart>
      <c:catAx>
        <c:axId val="173190144"/>
        <c:scaling>
          <c:orientation val="minMax"/>
        </c:scaling>
        <c:delete val="0"/>
        <c:axPos val="b"/>
        <c:numFmt formatCode="General" sourceLinked="1"/>
        <c:majorTickMark val="out"/>
        <c:minorTickMark val="none"/>
        <c:tickLblPos val="nextTo"/>
        <c:txPr>
          <a:bodyPr/>
          <a:lstStyle/>
          <a:p>
            <a:pPr>
              <a:defRPr sz="900">
                <a:latin typeface="Century Gothic" panose="020B0502020202020204" pitchFamily="34" charset="0"/>
              </a:defRPr>
            </a:pPr>
            <a:endParaRPr lang="cs-CZ"/>
          </a:p>
        </c:txPr>
        <c:crossAx val="173347584"/>
        <c:crosses val="autoZero"/>
        <c:auto val="1"/>
        <c:lblAlgn val="ctr"/>
        <c:lblOffset val="100"/>
        <c:tickLblSkip val="2"/>
        <c:noMultiLvlLbl val="0"/>
      </c:catAx>
      <c:valAx>
        <c:axId val="173347584"/>
        <c:scaling>
          <c:orientation val="minMax"/>
          <c:min val="35"/>
        </c:scaling>
        <c:delete val="0"/>
        <c:axPos val="l"/>
        <c:majorGridlines>
          <c:spPr>
            <a:ln w="6350">
              <a:solidFill>
                <a:schemeClr val="bg1">
                  <a:lumMod val="85000"/>
                </a:schemeClr>
              </a:solidFill>
            </a:ln>
          </c:spPr>
        </c:majorGridlines>
        <c:numFmt formatCode="#,##0.00" sourceLinked="0"/>
        <c:majorTickMark val="out"/>
        <c:minorTickMark val="none"/>
        <c:tickLblPos val="nextTo"/>
        <c:crossAx val="173190144"/>
        <c:crosses val="autoZero"/>
        <c:crossBetween val="between"/>
        <c:majorUnit val="4"/>
      </c:valAx>
    </c:plotArea>
    <c:legend>
      <c:legendPos val="b"/>
      <c:layout>
        <c:manualLayout>
          <c:xMode val="edge"/>
          <c:yMode val="edge"/>
          <c:x val="6.8324365704286988E-2"/>
          <c:y val="0.86627532889201253"/>
          <c:w val="0.90501771653543306"/>
          <c:h val="0.12085492493831032"/>
        </c:manualLayout>
      </c:layout>
      <c:overlay val="0"/>
      <c:txPr>
        <a:bodyPr/>
        <a:lstStyle/>
        <a:p>
          <a:pPr>
            <a:defRPr>
              <a:latin typeface="Century Gothic" panose="020B0502020202020204" pitchFamily="34" charset="0"/>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'[Copy of Exportni_index_2021-Q1_data_copy.xlsx]aktuální_situace-2021'!$B$46</c:f>
              <c:strCache>
                <c:ptCount val="1"/>
                <c:pt idx="0">
                  <c:v>Finanční zasažení zvýšením cen dopravy (primárně kontejnerové)</c:v>
                </c:pt>
              </c:strCache>
            </c:strRef>
          </c:tx>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D660-45C6-AD7B-17C942ABF6DF}"/>
              </c:ext>
            </c:extLst>
          </c:dPt>
          <c:dPt>
            <c:idx val="1"/>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D660-45C6-AD7B-17C942ABF6DF}"/>
              </c:ext>
            </c:extLst>
          </c:dPt>
          <c:dPt>
            <c:idx val="2"/>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D660-45C6-AD7B-17C942ABF6DF}"/>
              </c:ext>
            </c:extLst>
          </c:dPt>
          <c:dPt>
            <c:idx val="3"/>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D660-45C6-AD7B-17C942ABF6DF}"/>
              </c:ext>
            </c:extLst>
          </c:dPt>
          <c:dPt>
            <c:idx val="4"/>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D660-45C6-AD7B-17C942ABF6DF}"/>
              </c:ext>
            </c:extLst>
          </c:dPt>
          <c:dPt>
            <c:idx val="5"/>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B-D660-45C6-AD7B-17C942ABF6DF}"/>
              </c:ext>
            </c:extLst>
          </c:dPt>
          <c:dLbls>
            <c:dLbl>
              <c:idx val="2"/>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60-45C6-AD7B-17C942ABF6DF}"/>
                </c:ext>
              </c:extLst>
            </c:dLbl>
            <c:dLbl>
              <c:idx val="3"/>
              <c:layout>
                <c:manualLayout>
                  <c:x val="-2.3196474135931339E-3"/>
                  <c:y val="0.1149513471010297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D660-45C6-AD7B-17C942ABF6DF}"/>
                </c:ext>
              </c:extLst>
            </c:dLbl>
            <c:dLbl>
              <c:idx val="4"/>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60-45C6-AD7B-17C942ABF6DF}"/>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'[Copy of Exportni_index_2021-Q1_data_copy.xlsx]aktuální_situace-2021'!$A$47:$A$51</c:f>
              <c:strCache>
                <c:ptCount val="5"/>
                <c:pt idx="0">
                  <c:v>Ano, cena se nám výrazně zvýšila</c:v>
                </c:pt>
                <c:pt idx="1">
                  <c:v>Ano, cena nám mírně narostla</c:v>
                </c:pt>
                <c:pt idx="2">
                  <c:v>Ne, ceny dopravy máme nasmlouvané dopředu</c:v>
                </c:pt>
                <c:pt idx="3">
                  <c:v>Ne, dopravu si zajišťujeme vlastními prostředky</c:v>
                </c:pt>
                <c:pt idx="4">
                  <c:v>Nedokáži odpovědět</c:v>
                </c:pt>
              </c:strCache>
            </c:strRef>
          </c:cat>
          <c:val>
            <c:numRef>
              <c:f>'[Copy of Exportni_index_2021-Q1_data_copy.xlsx]aktuální_situace-2021'!$B$47:$B$51</c:f>
              <c:numCache>
                <c:formatCode>0%</c:formatCode>
                <c:ptCount val="5"/>
                <c:pt idx="0">
                  <c:v>0.28571428571428598</c:v>
                </c:pt>
                <c:pt idx="1">
                  <c:v>0.2857142857142857</c:v>
                </c:pt>
                <c:pt idx="2">
                  <c:v>0.14285714285714285</c:v>
                </c:pt>
                <c:pt idx="3">
                  <c:v>7.1428571428571425E-2</c:v>
                </c:pt>
                <c:pt idx="4">
                  <c:v>0.21428571428571427</c:v>
                </c:pt>
              </c:numCache>
            </c:numRef>
          </c:val>
          <c:extLst>
            <c:ext xmlns:c16="http://schemas.microsoft.com/office/drawing/2014/chart" uri="{C3380CC4-5D6E-409C-BE32-E72D297353CC}">
              <c16:uniqueId val="{0000000C-D660-45C6-AD7B-17C942ABF6DF}"/>
            </c:ext>
          </c:extLst>
        </c:ser>
        <c:dLbls>
          <c:dLblPos val="inEnd"/>
          <c:showLegendKey val="0"/>
          <c:showVal val="1"/>
          <c:showCatName val="0"/>
          <c:showSerName val="0"/>
          <c:showPercent val="0"/>
          <c:showBubbleSize val="0"/>
        </c:dLbls>
        <c:gapWidth val="41"/>
        <c:axId val="254594056"/>
        <c:axId val="254593072"/>
      </c:barChart>
      <c:catAx>
        <c:axId val="254594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cs-CZ"/>
          </a:p>
        </c:txPr>
        <c:crossAx val="254593072"/>
        <c:crosses val="autoZero"/>
        <c:auto val="1"/>
        <c:lblAlgn val="ctr"/>
        <c:lblOffset val="100"/>
        <c:noMultiLvlLbl val="0"/>
      </c:catAx>
      <c:valAx>
        <c:axId val="254593072"/>
        <c:scaling>
          <c:orientation val="minMax"/>
          <c:max val="0.5"/>
        </c:scaling>
        <c:delete val="1"/>
        <c:axPos val="l"/>
        <c:numFmt formatCode="0\ %" sourceLinked="0"/>
        <c:majorTickMark val="none"/>
        <c:minorTickMark val="none"/>
        <c:tickLblPos val="nextTo"/>
        <c:crossAx val="254594056"/>
        <c:crosses val="autoZero"/>
        <c:crossBetween val="between"/>
        <c:majorUnit val="0.25"/>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'[Copy of Exportni_index_2021-Q1_data_copy.xlsx]aktuální_situace-2021'!$B$67</c:f>
              <c:strCache>
                <c:ptCount val="1"/>
                <c:pt idx="0">
                  <c:v>Ovlivnění podnikání uzavřením hranic s Německem</c:v>
                </c:pt>
              </c:strCache>
            </c:strRef>
          </c:tx>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1561-4BD6-8008-C57C9D2BDE17}"/>
              </c:ext>
            </c:extLst>
          </c:dPt>
          <c:dPt>
            <c:idx val="1"/>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1561-4BD6-8008-C57C9D2BDE17}"/>
              </c:ext>
            </c:extLst>
          </c:dPt>
          <c:dPt>
            <c:idx val="2"/>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1561-4BD6-8008-C57C9D2BDE17}"/>
              </c:ext>
            </c:extLst>
          </c:dPt>
          <c:dPt>
            <c:idx val="3"/>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1561-4BD6-8008-C57C9D2BDE17}"/>
              </c:ext>
            </c:extLst>
          </c:dPt>
          <c:dPt>
            <c:idx val="4"/>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1561-4BD6-8008-C57C9D2BDE17}"/>
              </c:ext>
            </c:extLst>
          </c:dPt>
          <c:dPt>
            <c:idx val="5"/>
            <c:invertIfNegative val="0"/>
            <c:bubble3D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B-1561-4BD6-8008-C57C9D2BDE17}"/>
              </c:ext>
            </c:extLst>
          </c:dPt>
          <c:dLbls>
            <c:dLbl>
              <c:idx val="0"/>
              <c:layout>
                <c:manualLayout>
                  <c:x val="2.1263188990430051E-17"/>
                  <c:y val="8.75156605424321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61-4BD6-8008-C57C9D2BDE17}"/>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'[Copy of Exportni_index_2021-Q1_data_copy.xlsx]aktuální_situace-2021'!$A$68:$A$70</c:f>
              <c:strCache>
                <c:ptCount val="3"/>
                <c:pt idx="0">
                  <c:v>Ano, značně nám to zkomplikovalo podnikání</c:v>
                </c:pt>
                <c:pt idx="1">
                  <c:v>Ano, přineslo to drobné komplikace</c:v>
                </c:pt>
                <c:pt idx="2">
                  <c:v>Ne</c:v>
                </c:pt>
              </c:strCache>
            </c:strRef>
          </c:cat>
          <c:val>
            <c:numRef>
              <c:f>'[Copy of Exportni_index_2021-Q1_data_copy.xlsx]aktuální_situace-2021'!$B$68:$B$70</c:f>
              <c:numCache>
                <c:formatCode>0%</c:formatCode>
                <c:ptCount val="3"/>
                <c:pt idx="0">
                  <c:v>7.1428571428571425E-2</c:v>
                </c:pt>
                <c:pt idx="1">
                  <c:v>0.47619047619047616</c:v>
                </c:pt>
                <c:pt idx="2">
                  <c:v>0.45238095238095238</c:v>
                </c:pt>
              </c:numCache>
            </c:numRef>
          </c:val>
          <c:extLst>
            <c:ext xmlns:c16="http://schemas.microsoft.com/office/drawing/2014/chart" uri="{C3380CC4-5D6E-409C-BE32-E72D297353CC}">
              <c16:uniqueId val="{0000000C-1561-4BD6-8008-C57C9D2BDE17}"/>
            </c:ext>
          </c:extLst>
        </c:ser>
        <c:dLbls>
          <c:dLblPos val="inEnd"/>
          <c:showLegendKey val="0"/>
          <c:showVal val="1"/>
          <c:showCatName val="0"/>
          <c:showSerName val="0"/>
          <c:showPercent val="0"/>
          <c:showBubbleSize val="0"/>
        </c:dLbls>
        <c:gapWidth val="41"/>
        <c:axId val="254594056"/>
        <c:axId val="254593072"/>
      </c:barChart>
      <c:catAx>
        <c:axId val="254594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cs-CZ"/>
          </a:p>
        </c:txPr>
        <c:crossAx val="254593072"/>
        <c:crosses val="autoZero"/>
        <c:auto val="1"/>
        <c:lblAlgn val="ctr"/>
        <c:lblOffset val="100"/>
        <c:noMultiLvlLbl val="0"/>
      </c:catAx>
      <c:valAx>
        <c:axId val="254593072"/>
        <c:scaling>
          <c:orientation val="minMax"/>
          <c:max val="0.75000000000000011"/>
        </c:scaling>
        <c:delete val="1"/>
        <c:axPos val="l"/>
        <c:numFmt formatCode="0\ %" sourceLinked="0"/>
        <c:majorTickMark val="none"/>
        <c:minorTickMark val="none"/>
        <c:tickLblPos val="nextTo"/>
        <c:crossAx val="254594056"/>
        <c:crosses val="autoZero"/>
        <c:crossBetween val="between"/>
        <c:majorUnit val="0.25"/>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'[Copy of Exportni_index_2021-Q1_data_copy.xlsx]aktuální_situace-2021'!$B$35</c:f>
              <c:strCache>
                <c:ptCount val="1"/>
                <c:pt idx="0">
                  <c:v>Využití možnosti přednostně zajistit očkování vakcínami proti COVID-19 pro zaměstnance</c:v>
                </c:pt>
              </c:strCache>
            </c:strRef>
          </c:tx>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extLst>
              <c:ext xmlns:c16="http://schemas.microsoft.com/office/drawing/2014/chart" uri="{C3380CC4-5D6E-409C-BE32-E72D297353CC}">
                <c16:uniqueId val="{00000001-7E6E-4A92-BEDB-3BC2C5BF656A}"/>
              </c:ext>
            </c:extLst>
          </c:dPt>
          <c:dPt>
            <c:idx val="1"/>
            <c:invertIfNegative val="0"/>
            <c:bubble3D val="0"/>
            <c:extLst>
              <c:ext xmlns:c16="http://schemas.microsoft.com/office/drawing/2014/chart" uri="{C3380CC4-5D6E-409C-BE32-E72D297353CC}">
                <c16:uniqueId val="{00000003-7E6E-4A92-BEDB-3BC2C5BF656A}"/>
              </c:ext>
            </c:extLst>
          </c:dPt>
          <c:dPt>
            <c:idx val="2"/>
            <c:invertIfNegative val="0"/>
            <c:bubble3D val="0"/>
            <c:extLst>
              <c:ext xmlns:c16="http://schemas.microsoft.com/office/drawing/2014/chart" uri="{C3380CC4-5D6E-409C-BE32-E72D297353CC}">
                <c16:uniqueId val="{00000005-7E6E-4A92-BEDB-3BC2C5BF656A}"/>
              </c:ext>
            </c:extLst>
          </c:dPt>
          <c:dPt>
            <c:idx val="3"/>
            <c:invertIfNegative val="0"/>
            <c:bubble3D val="0"/>
            <c:extLst>
              <c:ext xmlns:c16="http://schemas.microsoft.com/office/drawing/2014/chart" uri="{C3380CC4-5D6E-409C-BE32-E72D297353CC}">
                <c16:uniqueId val="{00000007-7E6E-4A92-BEDB-3BC2C5BF656A}"/>
              </c:ext>
            </c:extLst>
          </c:dPt>
          <c:dPt>
            <c:idx val="5"/>
            <c:invertIfNegative val="0"/>
            <c:bubble3D val="0"/>
            <c:extLst>
              <c:ext xmlns:c16="http://schemas.microsoft.com/office/drawing/2014/chart" uri="{C3380CC4-5D6E-409C-BE32-E72D297353CC}">
                <c16:uniqueId val="{00000009-7E6E-4A92-BEDB-3BC2C5BF656A}"/>
              </c:ext>
            </c:extLst>
          </c:dPt>
          <c:dLbls>
            <c:numFmt formatCode="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'[Copy of Exportni_index_2021-Q1_data_copy.xlsx]aktuální_situace-2021'!$A$36:$A$38</c:f>
              <c:strCache>
                <c:ptCount val="3"/>
                <c:pt idx="0">
                  <c:v>Ano</c:v>
                </c:pt>
                <c:pt idx="1">
                  <c:v>Ne</c:v>
                </c:pt>
                <c:pt idx="2">
                  <c:v>Zatím ještě nevím</c:v>
                </c:pt>
              </c:strCache>
            </c:strRef>
          </c:cat>
          <c:val>
            <c:numRef>
              <c:f>'[Copy of Exportni_index_2021-Q1_data_copy.xlsx]aktuální_situace-2021'!$B$36:$B$38</c:f>
              <c:numCache>
                <c:formatCode>0%</c:formatCode>
                <c:ptCount val="3"/>
                <c:pt idx="0">
                  <c:v>0.69047619047619047</c:v>
                </c:pt>
                <c:pt idx="1">
                  <c:v>0.11904761904761904</c:v>
                </c:pt>
                <c:pt idx="2">
                  <c:v>0.19047619047619047</c:v>
                </c:pt>
              </c:numCache>
            </c:numRef>
          </c:val>
          <c:extLst>
            <c:ext xmlns:c16="http://schemas.microsoft.com/office/drawing/2014/chart" uri="{C3380CC4-5D6E-409C-BE32-E72D297353CC}">
              <c16:uniqueId val="{0000000A-7E6E-4A92-BEDB-3BC2C5BF656A}"/>
            </c:ext>
          </c:extLst>
        </c:ser>
        <c:dLbls>
          <c:dLblPos val="inEnd"/>
          <c:showLegendKey val="0"/>
          <c:showVal val="1"/>
          <c:showCatName val="0"/>
          <c:showSerName val="0"/>
          <c:showPercent val="0"/>
          <c:showBubbleSize val="0"/>
        </c:dLbls>
        <c:gapWidth val="41"/>
        <c:axId val="254594056"/>
        <c:axId val="254593072"/>
      </c:barChart>
      <c:catAx>
        <c:axId val="254594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cs-CZ"/>
          </a:p>
        </c:txPr>
        <c:crossAx val="254593072"/>
        <c:crosses val="autoZero"/>
        <c:auto val="1"/>
        <c:lblAlgn val="ctr"/>
        <c:lblOffset val="100"/>
        <c:noMultiLvlLbl val="0"/>
      </c:catAx>
      <c:valAx>
        <c:axId val="254593072"/>
        <c:scaling>
          <c:orientation val="minMax"/>
          <c:max val="1"/>
        </c:scaling>
        <c:delete val="1"/>
        <c:axPos val="l"/>
        <c:numFmt formatCode="0\ %" sourceLinked="0"/>
        <c:majorTickMark val="none"/>
        <c:minorTickMark val="none"/>
        <c:tickLblPos val="nextTo"/>
        <c:crossAx val="254594056"/>
        <c:crosses val="autoZero"/>
        <c:crossBetween val="between"/>
        <c:majorUnit val="0.25"/>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CC633-2033-4FCD-A4F5-EA10D107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1299</Words>
  <Characters>7666</Characters>
  <Application>Microsoft Office Word</Application>
  <DocSecurity>0</DocSecurity>
  <Lines>63</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Raiffeisenbank a.s.</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Kopecka</dc:creator>
  <cp:lastModifiedBy>Petra Kopecka</cp:lastModifiedBy>
  <cp:revision>3</cp:revision>
  <cp:lastPrinted>2018-11-07T13:18:00Z</cp:lastPrinted>
  <dcterms:created xsi:type="dcterms:W3CDTF">2021-04-07T11:43:00Z</dcterms:created>
  <dcterms:modified xsi:type="dcterms:W3CDTF">2021-04-07T11:44:00Z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2021-01-22T12:32:20Z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f856ae5f-f8c2-4cda-821d-66ad87aeebb5</vt:lpwstr>
  </property>
  <property fmtid="{D5CDD505-2E9C-101B-9397-08002B2CF9AE}" pid="8" name="MSIP_Label_2a6524ed-fb1a-49fd-bafe-15c5e5ffd047_ContentBits">
    <vt:lpwstr>0</vt:lpwstr>
  </property>
</Properties>
</file>